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A15B" w14:textId="19EEB943" w:rsidR="008779D7" w:rsidRPr="000C66AD" w:rsidRDefault="008C653C" w:rsidP="008779D7">
      <w:pPr>
        <w:spacing w:line="300" w:lineRule="atLeast"/>
        <w:jc w:val="both"/>
        <w:rPr>
          <w:rFonts w:ascii="Trebuchet MS" w:eastAsia="Times New Roman" w:hAnsi="Trebuchet MS" w:cs="Times New Roman"/>
          <w:b/>
          <w:bCs/>
          <w:kern w:val="0"/>
          <w:sz w:val="28"/>
          <w:szCs w:val="28"/>
          <w:u w:val="single"/>
          <w:lang w:eastAsia="en-IN"/>
          <w14:ligatures w14:val="none"/>
        </w:rPr>
      </w:pPr>
      <w:r w:rsidRPr="000C66AD">
        <w:rPr>
          <w:rFonts w:ascii="Trebuchet MS" w:eastAsia="Times New Roman" w:hAnsi="Trebuchet MS" w:cs="Times New Roman"/>
          <w:b/>
          <w:bCs/>
          <w:i/>
          <w:iCs/>
          <w:kern w:val="0"/>
          <w:sz w:val="28"/>
          <w:szCs w:val="28"/>
          <w:u w:val="single"/>
          <w:lang w:eastAsia="en-IN"/>
          <w14:ligatures w14:val="none"/>
        </w:rPr>
        <w:t>What is A Hindu</w:t>
      </w:r>
      <w:r w:rsidR="008779D7" w:rsidRPr="000C66AD">
        <w:rPr>
          <w:rFonts w:ascii="Trebuchet MS" w:eastAsia="Times New Roman" w:hAnsi="Trebuchet MS" w:cs="Times New Roman"/>
          <w:b/>
          <w:bCs/>
          <w:i/>
          <w:iCs/>
          <w:kern w:val="0"/>
          <w:sz w:val="28"/>
          <w:szCs w:val="28"/>
          <w:u w:val="single"/>
          <w:lang w:eastAsia="en-IN"/>
          <w14:ligatures w14:val="none"/>
        </w:rPr>
        <w:t xml:space="preserve"> </w:t>
      </w:r>
      <w:r w:rsidRPr="000C66AD">
        <w:rPr>
          <w:rFonts w:ascii="Trebuchet MS" w:eastAsia="Times New Roman" w:hAnsi="Trebuchet MS" w:cs="Times New Roman"/>
          <w:b/>
          <w:bCs/>
          <w:i/>
          <w:iCs/>
          <w:kern w:val="0"/>
          <w:sz w:val="28"/>
          <w:szCs w:val="28"/>
          <w:u w:val="single"/>
          <w:lang w:eastAsia="en-IN"/>
          <w14:ligatures w14:val="none"/>
        </w:rPr>
        <w:t>Undivided</w:t>
      </w:r>
      <w:r w:rsidR="008779D7" w:rsidRPr="000C66AD">
        <w:rPr>
          <w:rFonts w:ascii="Trebuchet MS" w:eastAsia="Times New Roman" w:hAnsi="Trebuchet MS" w:cs="Times New Roman"/>
          <w:b/>
          <w:bCs/>
          <w:i/>
          <w:iCs/>
          <w:kern w:val="0"/>
          <w:sz w:val="28"/>
          <w:szCs w:val="28"/>
          <w:u w:val="single"/>
          <w:lang w:eastAsia="en-IN"/>
          <w14:ligatures w14:val="none"/>
        </w:rPr>
        <w:t xml:space="preserve"> </w:t>
      </w:r>
      <w:r w:rsidRPr="000C66AD">
        <w:rPr>
          <w:rFonts w:ascii="Trebuchet MS" w:eastAsia="Times New Roman" w:hAnsi="Trebuchet MS" w:cs="Times New Roman"/>
          <w:b/>
          <w:bCs/>
          <w:i/>
          <w:iCs/>
          <w:kern w:val="0"/>
          <w:sz w:val="28"/>
          <w:szCs w:val="28"/>
          <w:u w:val="single"/>
          <w:lang w:eastAsia="en-IN"/>
          <w14:ligatures w14:val="none"/>
        </w:rPr>
        <w:t>Family?</w:t>
      </w:r>
      <w:r w:rsidRPr="000C66AD">
        <w:rPr>
          <w:rFonts w:ascii="Trebuchet MS" w:eastAsia="Times New Roman" w:hAnsi="Trebuchet MS" w:cs="Times New Roman"/>
          <w:b/>
          <w:bCs/>
          <w:kern w:val="0"/>
          <w:sz w:val="28"/>
          <w:szCs w:val="28"/>
          <w:u w:val="single"/>
          <w:lang w:eastAsia="en-IN"/>
          <w14:ligatures w14:val="none"/>
        </w:rPr>
        <w:t> </w:t>
      </w:r>
      <w:r w:rsidR="008779D7" w:rsidRPr="000C66AD">
        <w:rPr>
          <w:rFonts w:ascii="Trebuchet MS" w:eastAsia="Times New Roman" w:hAnsi="Trebuchet MS" w:cs="Times New Roman"/>
          <w:b/>
          <w:bCs/>
          <w:kern w:val="0"/>
          <w:sz w:val="28"/>
          <w:szCs w:val="28"/>
          <w:u w:val="single"/>
          <w:lang w:eastAsia="en-IN"/>
          <w14:ligatures w14:val="none"/>
        </w:rPr>
        <w:t>–</w:t>
      </w:r>
      <w:r w:rsidRPr="000C66AD">
        <w:rPr>
          <w:rFonts w:ascii="Trebuchet MS" w:eastAsia="Times New Roman" w:hAnsi="Trebuchet MS" w:cs="Times New Roman"/>
          <w:b/>
          <w:bCs/>
          <w:kern w:val="0"/>
          <w:sz w:val="28"/>
          <w:szCs w:val="28"/>
          <w:u w:val="single"/>
          <w:lang w:eastAsia="en-IN"/>
          <w14:ligatures w14:val="none"/>
        </w:rPr>
        <w:t xml:space="preserve"> </w:t>
      </w:r>
    </w:p>
    <w:p w14:paraId="77808B11" w14:textId="77777777" w:rsidR="008779D7" w:rsidRPr="000C66AD" w:rsidRDefault="008C653C" w:rsidP="008779D7">
      <w:p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The term 'Hindu</w:t>
      </w:r>
      <w:r w:rsidR="008779D7" w:rsidRPr="000C66AD">
        <w:rPr>
          <w:rFonts w:ascii="Trebuchet MS" w:eastAsia="Times New Roman" w:hAnsi="Trebuchet MS" w:cs="Times New Roman"/>
          <w:kern w:val="0"/>
          <w:sz w:val="28"/>
          <w:szCs w:val="28"/>
          <w:lang w:eastAsia="en-IN"/>
          <w14:ligatures w14:val="none"/>
        </w:rPr>
        <w:t xml:space="preserve"> </w:t>
      </w:r>
      <w:r w:rsidRPr="000C66AD">
        <w:rPr>
          <w:rFonts w:ascii="Trebuchet MS" w:eastAsia="Times New Roman" w:hAnsi="Trebuchet MS" w:cs="Times New Roman"/>
          <w:kern w:val="0"/>
          <w:sz w:val="28"/>
          <w:szCs w:val="28"/>
          <w:lang w:eastAsia="en-IN"/>
          <w14:ligatures w14:val="none"/>
        </w:rPr>
        <w:t>Undivided</w:t>
      </w:r>
      <w:r w:rsidR="008779D7" w:rsidRPr="000C66AD">
        <w:rPr>
          <w:rFonts w:ascii="Trebuchet MS" w:eastAsia="Times New Roman" w:hAnsi="Trebuchet MS" w:cs="Times New Roman"/>
          <w:kern w:val="0"/>
          <w:sz w:val="28"/>
          <w:szCs w:val="28"/>
          <w:lang w:eastAsia="en-IN"/>
          <w14:ligatures w14:val="none"/>
        </w:rPr>
        <w:t xml:space="preserve"> </w:t>
      </w:r>
      <w:r w:rsidRPr="000C66AD">
        <w:rPr>
          <w:rFonts w:ascii="Trebuchet MS" w:eastAsia="Times New Roman" w:hAnsi="Trebuchet MS" w:cs="Times New Roman"/>
          <w:kern w:val="0"/>
          <w:sz w:val="28"/>
          <w:szCs w:val="28"/>
          <w:lang w:eastAsia="en-IN"/>
          <w14:ligatures w14:val="none"/>
        </w:rPr>
        <w:t>Family' (HUF) hasn't been defined in various Hindu Acts: </w:t>
      </w:r>
    </w:p>
    <w:p w14:paraId="6B68FE7A" w14:textId="77777777" w:rsidR="008779D7" w:rsidRPr="000C66AD" w:rsidRDefault="008C653C" w:rsidP="008779D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Hindu Marriage Act (1955), </w:t>
      </w:r>
    </w:p>
    <w:p w14:paraId="727A3B26" w14:textId="77777777" w:rsidR="008779D7" w:rsidRPr="000C66AD" w:rsidRDefault="008C653C" w:rsidP="008779D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Hindu Minority and Guardianship Act (1956), </w:t>
      </w:r>
    </w:p>
    <w:p w14:paraId="5AB44817" w14:textId="77777777" w:rsidR="008779D7" w:rsidRPr="000C66AD" w:rsidRDefault="008C653C" w:rsidP="008779D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Hindu Succession Act (HSA) (1956) and </w:t>
      </w:r>
    </w:p>
    <w:p w14:paraId="686BE0C0" w14:textId="77777777" w:rsidR="008779D7" w:rsidRPr="000C66AD" w:rsidRDefault="008C653C" w:rsidP="008779D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Hindu Adoptions and Maintenance Act (1956), </w:t>
      </w:r>
    </w:p>
    <w:p w14:paraId="6B2250AB" w14:textId="77777777" w:rsidR="008779D7" w:rsidRPr="000C66AD" w:rsidRDefault="008779D7" w:rsidP="008779D7">
      <w:pPr>
        <w:spacing w:line="300" w:lineRule="atLeast"/>
        <w:ind w:left="360"/>
        <w:jc w:val="both"/>
        <w:rPr>
          <w:rFonts w:ascii="Trebuchet MS" w:eastAsia="Times New Roman" w:hAnsi="Trebuchet MS" w:cs="Times New Roman"/>
          <w:kern w:val="0"/>
          <w:sz w:val="28"/>
          <w:szCs w:val="28"/>
          <w:lang w:eastAsia="en-IN"/>
          <w14:ligatures w14:val="none"/>
        </w:rPr>
      </w:pPr>
    </w:p>
    <w:p w14:paraId="6AAD5A53" w14:textId="77777777" w:rsidR="000C66AD" w:rsidRDefault="008779D7" w:rsidP="000C66AD">
      <w:p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H</w:t>
      </w:r>
      <w:r w:rsidR="008C653C" w:rsidRPr="000C66AD">
        <w:rPr>
          <w:rFonts w:ascii="Trebuchet MS" w:eastAsia="Times New Roman" w:hAnsi="Trebuchet MS" w:cs="Times New Roman"/>
          <w:kern w:val="0"/>
          <w:sz w:val="28"/>
          <w:szCs w:val="28"/>
          <w:lang w:eastAsia="en-IN"/>
          <w14:ligatures w14:val="none"/>
        </w:rPr>
        <w:t>owever, the Income Tax Act, 1961 provides for HUF as a taxable entity under S. </w:t>
      </w:r>
      <w:hyperlink r:id="rId5" w:history="1">
        <w:r w:rsidR="008C653C" w:rsidRPr="000C66AD">
          <w:rPr>
            <w:rFonts w:ascii="Trebuchet MS" w:eastAsia="Times New Roman" w:hAnsi="Trebuchet MS" w:cs="Times New Roman"/>
            <w:kern w:val="0"/>
            <w:sz w:val="28"/>
            <w:szCs w:val="28"/>
            <w:u w:val="single"/>
            <w:lang w:eastAsia="en-IN"/>
            <w14:ligatures w14:val="none"/>
          </w:rPr>
          <w:t>2(31)</w:t>
        </w:r>
      </w:hyperlink>
      <w:r w:rsidR="008C653C" w:rsidRPr="000C66AD">
        <w:rPr>
          <w:rFonts w:ascii="Trebuchet MS" w:eastAsia="Times New Roman" w:hAnsi="Trebuchet MS" w:cs="Times New Roman"/>
          <w:kern w:val="0"/>
          <w:sz w:val="28"/>
          <w:szCs w:val="28"/>
          <w:lang w:eastAsia="en-IN"/>
          <w14:ligatures w14:val="none"/>
        </w:rPr>
        <w:t xml:space="preserve">. </w:t>
      </w:r>
    </w:p>
    <w:p w14:paraId="34F7C99B" w14:textId="6DE7A4E2" w:rsidR="008C653C" w:rsidRPr="000C66AD" w:rsidRDefault="008C653C" w:rsidP="000C66AD">
      <w:p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Under S. </w:t>
      </w:r>
      <w:hyperlink r:id="rId6" w:history="1">
        <w:r w:rsidRPr="000C66AD">
          <w:rPr>
            <w:rFonts w:ascii="Trebuchet MS" w:eastAsia="Times New Roman" w:hAnsi="Trebuchet MS" w:cs="Times New Roman"/>
            <w:kern w:val="0"/>
            <w:sz w:val="28"/>
            <w:szCs w:val="28"/>
            <w:u w:val="single"/>
            <w:lang w:eastAsia="en-IN"/>
            <w14:ligatures w14:val="none"/>
          </w:rPr>
          <w:t>2(4)</w:t>
        </w:r>
      </w:hyperlink>
      <w:r w:rsidRPr="000C66AD">
        <w:rPr>
          <w:rFonts w:ascii="Trebuchet MS" w:eastAsia="Times New Roman" w:hAnsi="Trebuchet MS" w:cs="Times New Roman"/>
          <w:kern w:val="0"/>
          <w:sz w:val="28"/>
          <w:szCs w:val="28"/>
          <w:lang w:eastAsia="en-IN"/>
          <w14:ligatures w14:val="none"/>
        </w:rPr>
        <w:t> of the Kerala Joint Hindu</w:t>
      </w:r>
      <w:r w:rsidR="008779D7" w:rsidRPr="000C66AD">
        <w:rPr>
          <w:rFonts w:ascii="Trebuchet MS" w:eastAsia="Times New Roman" w:hAnsi="Trebuchet MS" w:cs="Times New Roman"/>
          <w:kern w:val="0"/>
          <w:sz w:val="28"/>
          <w:szCs w:val="28"/>
          <w:lang w:eastAsia="en-IN"/>
          <w14:ligatures w14:val="none"/>
        </w:rPr>
        <w:t xml:space="preserve"> </w:t>
      </w:r>
      <w:r w:rsidRPr="000C66AD">
        <w:rPr>
          <w:rFonts w:ascii="Trebuchet MS" w:eastAsia="Times New Roman" w:hAnsi="Trebuchet MS" w:cs="Times New Roman"/>
          <w:kern w:val="0"/>
          <w:sz w:val="28"/>
          <w:szCs w:val="28"/>
          <w:lang w:eastAsia="en-IN"/>
          <w14:ligatures w14:val="none"/>
        </w:rPr>
        <w:t>Family System (Abolition) Act, 1975, the expression 'Joint Hindu</w:t>
      </w:r>
      <w:r w:rsidR="008779D7" w:rsidRPr="000C66AD">
        <w:rPr>
          <w:rFonts w:ascii="Trebuchet MS" w:eastAsia="Times New Roman" w:hAnsi="Trebuchet MS" w:cs="Times New Roman"/>
          <w:kern w:val="0"/>
          <w:sz w:val="28"/>
          <w:szCs w:val="28"/>
          <w:lang w:eastAsia="en-IN"/>
          <w14:ligatures w14:val="none"/>
        </w:rPr>
        <w:t xml:space="preserve"> </w:t>
      </w:r>
      <w:r w:rsidRPr="000C66AD">
        <w:rPr>
          <w:rFonts w:ascii="Trebuchet MS" w:eastAsia="Times New Roman" w:hAnsi="Trebuchet MS" w:cs="Times New Roman"/>
          <w:kern w:val="0"/>
          <w:sz w:val="28"/>
          <w:szCs w:val="28"/>
          <w:lang w:eastAsia="en-IN"/>
          <w14:ligatures w14:val="none"/>
        </w:rPr>
        <w:t>Family' is defined as an undivided</w:t>
      </w:r>
      <w:r w:rsidR="008779D7" w:rsidRPr="000C66AD">
        <w:rPr>
          <w:rFonts w:ascii="Trebuchet MS" w:eastAsia="Times New Roman" w:hAnsi="Trebuchet MS" w:cs="Times New Roman"/>
          <w:kern w:val="0"/>
          <w:sz w:val="28"/>
          <w:szCs w:val="28"/>
          <w:lang w:eastAsia="en-IN"/>
          <w14:ligatures w14:val="none"/>
        </w:rPr>
        <w:t xml:space="preserve"> </w:t>
      </w:r>
      <w:r w:rsidRPr="000C66AD">
        <w:rPr>
          <w:rFonts w:ascii="Trebuchet MS" w:eastAsia="Times New Roman" w:hAnsi="Trebuchet MS" w:cs="Times New Roman"/>
          <w:kern w:val="0"/>
          <w:sz w:val="28"/>
          <w:szCs w:val="28"/>
          <w:lang w:eastAsia="en-IN"/>
          <w14:ligatures w14:val="none"/>
        </w:rPr>
        <w:t>Hindu</w:t>
      </w:r>
      <w:r w:rsidR="008779D7" w:rsidRPr="000C66AD">
        <w:rPr>
          <w:rFonts w:ascii="Trebuchet MS" w:eastAsia="Times New Roman" w:hAnsi="Trebuchet MS" w:cs="Times New Roman"/>
          <w:kern w:val="0"/>
          <w:sz w:val="28"/>
          <w:szCs w:val="28"/>
          <w:lang w:eastAsia="en-IN"/>
          <w14:ligatures w14:val="none"/>
        </w:rPr>
        <w:t xml:space="preserve"> </w:t>
      </w:r>
      <w:r w:rsidRPr="000C66AD">
        <w:rPr>
          <w:rFonts w:ascii="Trebuchet MS" w:eastAsia="Times New Roman" w:hAnsi="Trebuchet MS" w:cs="Times New Roman"/>
          <w:kern w:val="0"/>
          <w:sz w:val="28"/>
          <w:szCs w:val="28"/>
          <w:lang w:eastAsia="en-IN"/>
          <w14:ligatures w14:val="none"/>
        </w:rPr>
        <w:t>family governed by the Mitakshara Law.</w:t>
      </w:r>
    </w:p>
    <w:p w14:paraId="0AA81984" w14:textId="77777777" w:rsidR="000C66AD" w:rsidRDefault="000C66AD" w:rsidP="008779D7">
      <w:pPr>
        <w:spacing w:line="300" w:lineRule="atLeast"/>
        <w:jc w:val="both"/>
        <w:rPr>
          <w:rFonts w:ascii="Trebuchet MS" w:eastAsia="Times New Roman" w:hAnsi="Trebuchet MS" w:cs="Times New Roman"/>
          <w:kern w:val="0"/>
          <w:sz w:val="28"/>
          <w:szCs w:val="28"/>
          <w:lang w:eastAsia="en-IN"/>
          <w14:ligatures w14:val="none"/>
        </w:rPr>
      </w:pPr>
    </w:p>
    <w:p w14:paraId="20FE03CC" w14:textId="5D01019F" w:rsidR="008C653C" w:rsidRPr="000C66AD" w:rsidRDefault="008C653C" w:rsidP="008779D7">
      <w:p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In the case of </w:t>
      </w:r>
      <w:r w:rsidRPr="000C66AD">
        <w:rPr>
          <w:rFonts w:ascii="Trebuchet MS" w:eastAsia="Times New Roman" w:hAnsi="Trebuchet MS" w:cs="Times New Roman"/>
          <w:b/>
          <w:bCs/>
          <w:i/>
          <w:iCs/>
          <w:kern w:val="0"/>
          <w:sz w:val="28"/>
          <w:szCs w:val="28"/>
          <w:u w:val="single"/>
          <w:lang w:eastAsia="en-IN"/>
          <w14:ligatures w14:val="none"/>
        </w:rPr>
        <w:t>Surjit Lal Chhabda</w:t>
      </w:r>
      <w:r w:rsidRPr="000C66AD">
        <w:rPr>
          <w:rFonts w:ascii="Trebuchet MS" w:eastAsia="Times New Roman" w:hAnsi="Trebuchet MS" w:cs="Times New Roman"/>
          <w:b/>
          <w:bCs/>
          <w:kern w:val="0"/>
          <w:sz w:val="28"/>
          <w:szCs w:val="28"/>
          <w:u w:val="single"/>
          <w:lang w:eastAsia="en-IN"/>
          <w14:ligatures w14:val="none"/>
        </w:rPr>
        <w:t> v. </w:t>
      </w:r>
      <w:r w:rsidRPr="000C66AD">
        <w:rPr>
          <w:rFonts w:ascii="Trebuchet MS" w:eastAsia="Times New Roman" w:hAnsi="Trebuchet MS" w:cs="Times New Roman"/>
          <w:b/>
          <w:bCs/>
          <w:i/>
          <w:iCs/>
          <w:kern w:val="0"/>
          <w:sz w:val="28"/>
          <w:szCs w:val="28"/>
          <w:u w:val="single"/>
          <w:lang w:eastAsia="en-IN"/>
          <w14:ligatures w14:val="none"/>
        </w:rPr>
        <w:t>CIT</w:t>
      </w:r>
      <w:r w:rsidRPr="000C66AD">
        <w:rPr>
          <w:rFonts w:ascii="Trebuchet MS" w:eastAsia="Times New Roman" w:hAnsi="Trebuchet MS" w:cs="Times New Roman"/>
          <w:b/>
          <w:bCs/>
          <w:kern w:val="0"/>
          <w:sz w:val="28"/>
          <w:szCs w:val="28"/>
          <w:u w:val="single"/>
          <w:lang w:eastAsia="en-IN"/>
          <w14:ligatures w14:val="none"/>
        </w:rPr>
        <w:t> AIR 1976 SC 109</w:t>
      </w:r>
      <w:r w:rsidRPr="000C66AD">
        <w:rPr>
          <w:rFonts w:ascii="Trebuchet MS" w:eastAsia="Times New Roman" w:hAnsi="Trebuchet MS" w:cs="Times New Roman"/>
          <w:kern w:val="0"/>
          <w:sz w:val="28"/>
          <w:szCs w:val="28"/>
          <w:lang w:eastAsia="en-IN"/>
          <w14:ligatures w14:val="none"/>
        </w:rPr>
        <w:t xml:space="preserve"> the Apex Court held that:</w:t>
      </w:r>
    </w:p>
    <w:tbl>
      <w:tblPr>
        <w:tblW w:w="0" w:type="auto"/>
        <w:tblInd w:w="28" w:type="dxa"/>
        <w:tblBorders>
          <w:top w:val="single" w:sz="2" w:space="0" w:color="000000"/>
          <w:left w:val="single" w:sz="2"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5"/>
        <w:gridCol w:w="8287"/>
      </w:tblGrid>
      <w:tr w:rsidR="00F23CCA" w:rsidRPr="000C66AD" w14:paraId="32955C8F" w14:textId="77777777" w:rsidTr="008779D7">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4BE45D56" w14:textId="77777777" w:rsidR="008779D7" w:rsidRPr="000C66AD" w:rsidRDefault="008779D7" w:rsidP="008779D7">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auto"/>
            <w:hideMark/>
          </w:tcPr>
          <w:p w14:paraId="55261F8E" w14:textId="06CE0902" w:rsidR="008779D7" w:rsidRPr="000C66AD" w:rsidRDefault="008779D7" w:rsidP="008779D7">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the expressions 'Hindu Undivided Family' (HUF) and 'Joint Hindu Family' (JHF) are synonymous terms;</w:t>
            </w:r>
          </w:p>
        </w:tc>
      </w:tr>
      <w:tr w:rsidR="00F23CCA" w:rsidRPr="000C66AD" w14:paraId="4BDAD0F1" w14:textId="77777777" w:rsidTr="008779D7">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270CA8DA" w14:textId="77777777" w:rsidR="008779D7" w:rsidRPr="000C66AD" w:rsidRDefault="008779D7" w:rsidP="008779D7">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ii</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auto"/>
            <w:hideMark/>
          </w:tcPr>
          <w:p w14:paraId="11177471" w14:textId="77777777" w:rsidR="008779D7" w:rsidRPr="000C66AD" w:rsidRDefault="008779D7" w:rsidP="008779D7">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the terms being not independently defined in any act, is evidence enough of the underlying connotation that the </w:t>
            </w:r>
            <w:r w:rsidRPr="000C66AD">
              <w:rPr>
                <w:rFonts w:ascii="Trebuchet MS" w:eastAsia="Times New Roman" w:hAnsi="Trebuchet MS" w:cs="Times New Roman"/>
                <w:b/>
                <w:bCs/>
                <w:kern w:val="0"/>
                <w:sz w:val="28"/>
                <w:szCs w:val="28"/>
                <w:lang w:eastAsia="en-IN"/>
                <w14:ligatures w14:val="none"/>
              </w:rPr>
              <w:t>terms must be understood as they are understood in Hindu Law</w:t>
            </w:r>
            <w:r w:rsidRPr="000C66AD">
              <w:rPr>
                <w:rFonts w:ascii="Trebuchet MS" w:eastAsia="Times New Roman" w:hAnsi="Trebuchet MS" w:cs="Times New Roman"/>
                <w:kern w:val="0"/>
                <w:sz w:val="28"/>
                <w:szCs w:val="28"/>
                <w:lang w:eastAsia="en-IN"/>
                <w14:ligatures w14:val="none"/>
              </w:rPr>
              <w:t>;</w:t>
            </w:r>
          </w:p>
        </w:tc>
      </w:tr>
      <w:tr w:rsidR="00F23CCA" w:rsidRPr="000C66AD" w14:paraId="6985A433" w14:textId="77777777" w:rsidTr="008779D7">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248E88BE" w14:textId="77777777" w:rsidR="008779D7" w:rsidRPr="000C66AD" w:rsidRDefault="008779D7" w:rsidP="008779D7">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iii</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auto"/>
            <w:hideMark/>
          </w:tcPr>
          <w:p w14:paraId="7C41206B" w14:textId="07FB5048" w:rsidR="008779D7" w:rsidRPr="000C66AD" w:rsidRDefault="008779D7" w:rsidP="008779D7">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a joint Hindu family consists of </w:t>
            </w:r>
            <w:r w:rsidRPr="000C66AD">
              <w:rPr>
                <w:rFonts w:ascii="Trebuchet MS" w:eastAsia="Times New Roman" w:hAnsi="Trebuchet MS" w:cs="Times New Roman"/>
                <w:b/>
                <w:bCs/>
                <w:kern w:val="0"/>
                <w:sz w:val="28"/>
                <w:szCs w:val="28"/>
                <w:lang w:eastAsia="en-IN"/>
                <w14:ligatures w14:val="none"/>
              </w:rPr>
              <w:t>persons lineally descended from a common ancestor and includes their wives and unmarried daughters</w:t>
            </w:r>
            <w:r w:rsidRPr="000C66AD">
              <w:rPr>
                <w:rFonts w:ascii="Trebuchet MS" w:eastAsia="Times New Roman" w:hAnsi="Trebuchet MS" w:cs="Times New Roman"/>
                <w:kern w:val="0"/>
                <w:sz w:val="28"/>
                <w:szCs w:val="28"/>
                <w:lang w:eastAsia="en-IN"/>
                <w14:ligatures w14:val="none"/>
              </w:rPr>
              <w:t xml:space="preserve">. </w:t>
            </w:r>
            <w:r w:rsidRPr="000C66AD">
              <w:rPr>
                <w:rFonts w:ascii="Trebuchet MS" w:eastAsia="Times New Roman" w:hAnsi="Trebuchet MS" w:cs="Times New Roman"/>
                <w:kern w:val="0"/>
                <w:sz w:val="28"/>
                <w:szCs w:val="28"/>
                <w:shd w:val="clear" w:color="auto" w:fill="FFFF00"/>
                <w:lang w:eastAsia="en-IN"/>
                <w14:ligatures w14:val="none"/>
              </w:rPr>
              <w:t>The daughter, on marriage, ceases to be a member of her father's family and becomes a member of her husband's family.</w:t>
            </w:r>
            <w:r w:rsidRPr="000C66AD">
              <w:rPr>
                <w:rFonts w:ascii="Trebuchet MS" w:eastAsia="Times New Roman" w:hAnsi="Trebuchet MS" w:cs="Times New Roman"/>
                <w:kern w:val="0"/>
                <w:sz w:val="28"/>
                <w:szCs w:val="28"/>
                <w:lang w:eastAsia="en-IN"/>
                <w14:ligatures w14:val="none"/>
              </w:rPr>
              <w:t xml:space="preserve"> The joint Hindu family is thus a larger body consisting of a group of persons who are united by the tie of Sapinda ship arising by birth, marriage or adoption; and</w:t>
            </w:r>
          </w:p>
        </w:tc>
      </w:tr>
      <w:tr w:rsidR="00F23CCA" w:rsidRPr="000C66AD" w14:paraId="591BEDA1" w14:textId="77777777" w:rsidTr="008C653C">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46F93821" w14:textId="77777777" w:rsidR="008779D7" w:rsidRPr="000C66AD" w:rsidRDefault="008779D7" w:rsidP="008779D7">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iv</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16B5D793" w14:textId="77777777" w:rsidR="008779D7" w:rsidRPr="000C66AD" w:rsidRDefault="008779D7" w:rsidP="008779D7">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HUF is a creature of law.</w:t>
            </w:r>
          </w:p>
        </w:tc>
      </w:tr>
    </w:tbl>
    <w:p w14:paraId="1F78216B" w14:textId="77777777" w:rsidR="008C653C" w:rsidRPr="000C66AD" w:rsidRDefault="008C653C" w:rsidP="008779D7">
      <w:p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Thus, HUF is an undivided group of direct descendants of a common ancestor including their wives (if any) and unmarried daughters.</w:t>
      </w:r>
    </w:p>
    <w:p w14:paraId="4FE8AC2E" w14:textId="77777777" w:rsidR="008C653C" w:rsidRPr="000C66AD" w:rsidRDefault="008C653C" w:rsidP="008779D7">
      <w:pPr>
        <w:spacing w:line="300" w:lineRule="atLeast"/>
        <w:jc w:val="both"/>
        <w:rPr>
          <w:rFonts w:ascii="Trebuchet MS" w:eastAsia="Times New Roman" w:hAnsi="Trebuchet MS" w:cs="Times New Roman"/>
          <w:i/>
          <w:iCs/>
          <w:kern w:val="0"/>
          <w:sz w:val="28"/>
          <w:szCs w:val="28"/>
          <w:lang w:eastAsia="en-IN"/>
          <w14:ligatures w14:val="none"/>
        </w:rPr>
      </w:pPr>
    </w:p>
    <w:p w14:paraId="177660C1" w14:textId="16CD5F9E" w:rsidR="008779D7" w:rsidRPr="000C66AD" w:rsidRDefault="008C653C" w:rsidP="008779D7">
      <w:pPr>
        <w:spacing w:line="300" w:lineRule="atLeast"/>
        <w:jc w:val="both"/>
        <w:rPr>
          <w:rFonts w:ascii="Trebuchet MS" w:eastAsia="Times New Roman" w:hAnsi="Trebuchet MS" w:cs="Times New Roman"/>
          <w:b/>
          <w:bCs/>
          <w:kern w:val="0"/>
          <w:sz w:val="28"/>
          <w:szCs w:val="28"/>
          <w:u w:val="single"/>
          <w:lang w:eastAsia="en-IN"/>
          <w14:ligatures w14:val="none"/>
        </w:rPr>
      </w:pPr>
      <w:r w:rsidRPr="000C66AD">
        <w:rPr>
          <w:rFonts w:ascii="Trebuchet MS" w:eastAsia="Times New Roman" w:hAnsi="Trebuchet MS" w:cs="Times New Roman"/>
          <w:b/>
          <w:bCs/>
          <w:i/>
          <w:iCs/>
          <w:kern w:val="0"/>
          <w:sz w:val="28"/>
          <w:szCs w:val="28"/>
          <w:u w:val="single"/>
          <w:lang w:eastAsia="en-IN"/>
          <w14:ligatures w14:val="none"/>
        </w:rPr>
        <w:t>Who is a Coparcener?</w:t>
      </w:r>
      <w:r w:rsidRPr="000C66AD">
        <w:rPr>
          <w:rFonts w:ascii="Trebuchet MS" w:eastAsia="Times New Roman" w:hAnsi="Trebuchet MS" w:cs="Times New Roman"/>
          <w:b/>
          <w:bCs/>
          <w:kern w:val="0"/>
          <w:sz w:val="28"/>
          <w:szCs w:val="28"/>
          <w:u w:val="single"/>
          <w:lang w:eastAsia="en-IN"/>
          <w14:ligatures w14:val="none"/>
        </w:rPr>
        <w:t> </w:t>
      </w:r>
      <w:r w:rsidR="008779D7" w:rsidRPr="000C66AD">
        <w:rPr>
          <w:rFonts w:ascii="Trebuchet MS" w:eastAsia="Times New Roman" w:hAnsi="Trebuchet MS" w:cs="Times New Roman"/>
          <w:b/>
          <w:bCs/>
          <w:kern w:val="0"/>
          <w:sz w:val="28"/>
          <w:szCs w:val="28"/>
          <w:u w:val="single"/>
          <w:lang w:eastAsia="en-IN"/>
          <w14:ligatures w14:val="none"/>
        </w:rPr>
        <w:t>–</w:t>
      </w:r>
      <w:r w:rsidRPr="000C66AD">
        <w:rPr>
          <w:rFonts w:ascii="Trebuchet MS" w:eastAsia="Times New Roman" w:hAnsi="Trebuchet MS" w:cs="Times New Roman"/>
          <w:b/>
          <w:bCs/>
          <w:kern w:val="0"/>
          <w:sz w:val="28"/>
          <w:szCs w:val="28"/>
          <w:u w:val="single"/>
          <w:lang w:eastAsia="en-IN"/>
          <w14:ligatures w14:val="none"/>
        </w:rPr>
        <w:t xml:space="preserve"> </w:t>
      </w:r>
    </w:p>
    <w:p w14:paraId="3704BEDE" w14:textId="77777777" w:rsidR="008779D7" w:rsidRPr="000C66AD" w:rsidRDefault="008C653C" w:rsidP="008779D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a person who acquires a right in the ancestral property by </w:t>
      </w:r>
      <w:r w:rsidRPr="000C66AD">
        <w:rPr>
          <w:rFonts w:ascii="Trebuchet MS" w:eastAsia="Times New Roman" w:hAnsi="Trebuchet MS" w:cs="Times New Roman"/>
          <w:b/>
          <w:bCs/>
          <w:kern w:val="0"/>
          <w:sz w:val="28"/>
          <w:szCs w:val="28"/>
          <w:u w:val="single"/>
          <w:lang w:eastAsia="en-IN"/>
          <w14:ligatures w14:val="none"/>
        </w:rPr>
        <w:t>birth</w:t>
      </w:r>
      <w:r w:rsidRPr="000C66AD">
        <w:rPr>
          <w:rFonts w:ascii="Trebuchet MS" w:eastAsia="Times New Roman" w:hAnsi="Trebuchet MS" w:cs="Times New Roman"/>
          <w:kern w:val="0"/>
          <w:sz w:val="28"/>
          <w:szCs w:val="28"/>
          <w:lang w:eastAsia="en-IN"/>
          <w14:ligatures w14:val="none"/>
        </w:rPr>
        <w:t xml:space="preserve"> and a person with the </w:t>
      </w:r>
      <w:r w:rsidRPr="000C66AD">
        <w:rPr>
          <w:rFonts w:ascii="Trebuchet MS" w:eastAsia="Times New Roman" w:hAnsi="Trebuchet MS" w:cs="Times New Roman"/>
          <w:b/>
          <w:bCs/>
          <w:kern w:val="0"/>
          <w:sz w:val="28"/>
          <w:szCs w:val="28"/>
          <w:u w:val="single"/>
          <w:lang w:eastAsia="en-IN"/>
          <w14:ligatures w14:val="none"/>
        </w:rPr>
        <w:t>right to demand partition in the HUF property</w:t>
      </w:r>
      <w:r w:rsidRPr="000C66AD">
        <w:rPr>
          <w:rFonts w:ascii="Trebuchet MS" w:eastAsia="Times New Roman" w:hAnsi="Trebuchet MS" w:cs="Times New Roman"/>
          <w:kern w:val="0"/>
          <w:sz w:val="28"/>
          <w:szCs w:val="28"/>
          <w:lang w:eastAsia="en-IN"/>
          <w14:ligatures w14:val="none"/>
        </w:rPr>
        <w:t>.</w:t>
      </w:r>
    </w:p>
    <w:p w14:paraId="035A313A" w14:textId="77777777" w:rsidR="008779D7" w:rsidRPr="000C66AD" w:rsidRDefault="008779D7" w:rsidP="008779D7">
      <w:pPr>
        <w:pStyle w:val="ListParagraph"/>
        <w:spacing w:line="300" w:lineRule="atLeast"/>
        <w:jc w:val="both"/>
        <w:rPr>
          <w:rFonts w:ascii="Trebuchet MS" w:eastAsia="Times New Roman" w:hAnsi="Trebuchet MS" w:cs="Times New Roman"/>
          <w:kern w:val="0"/>
          <w:sz w:val="28"/>
          <w:szCs w:val="28"/>
          <w:lang w:eastAsia="en-IN"/>
          <w14:ligatures w14:val="none"/>
        </w:rPr>
      </w:pPr>
    </w:p>
    <w:p w14:paraId="5EA6B6DF" w14:textId="4C1B1A5F" w:rsidR="008C653C" w:rsidRPr="000C66AD" w:rsidRDefault="008C653C" w:rsidP="008779D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shd w:val="clear" w:color="auto" w:fill="FFFF00"/>
          <w:lang w:eastAsia="en-IN"/>
          <w14:ligatures w14:val="none"/>
        </w:rPr>
        <w:lastRenderedPageBreak/>
        <w:t>Prior to the amendments</w:t>
      </w:r>
      <w:r w:rsidRPr="000C66AD">
        <w:rPr>
          <w:rFonts w:ascii="Trebuchet MS" w:eastAsia="Times New Roman" w:hAnsi="Trebuchet MS" w:cs="Times New Roman"/>
          <w:kern w:val="0"/>
          <w:sz w:val="28"/>
          <w:szCs w:val="28"/>
          <w:lang w:eastAsia="en-IN"/>
          <w14:ligatures w14:val="none"/>
        </w:rPr>
        <w:t xml:space="preserve"> made by the </w:t>
      </w:r>
      <w:r w:rsidRPr="000C66AD">
        <w:rPr>
          <w:rFonts w:ascii="Trebuchet MS" w:eastAsia="Times New Roman" w:hAnsi="Trebuchet MS" w:cs="Times New Roman"/>
          <w:kern w:val="0"/>
          <w:sz w:val="28"/>
          <w:szCs w:val="28"/>
          <w:shd w:val="clear" w:color="auto" w:fill="FFFF00"/>
          <w:lang w:eastAsia="en-IN"/>
          <w14:ligatures w14:val="none"/>
        </w:rPr>
        <w:t>Hindu</w:t>
      </w:r>
      <w:r w:rsidRPr="000C66AD">
        <w:rPr>
          <w:rFonts w:ascii="Trebuchet MS" w:eastAsia="Times New Roman" w:hAnsi="Trebuchet MS" w:cs="Times New Roman"/>
          <w:kern w:val="0"/>
          <w:sz w:val="28"/>
          <w:szCs w:val="28"/>
          <w:lang w:eastAsia="en-IN"/>
          <w14:ligatures w14:val="none"/>
        </w:rPr>
        <w:t> </w:t>
      </w:r>
      <w:r w:rsidRPr="000C66AD">
        <w:rPr>
          <w:rFonts w:ascii="Trebuchet MS" w:eastAsia="Times New Roman" w:hAnsi="Trebuchet MS" w:cs="Times New Roman"/>
          <w:kern w:val="0"/>
          <w:sz w:val="28"/>
          <w:szCs w:val="28"/>
          <w:shd w:val="clear" w:color="auto" w:fill="FFFF00"/>
          <w:lang w:eastAsia="en-IN"/>
          <w14:ligatures w14:val="none"/>
        </w:rPr>
        <w:t>Succession (Amendment) Act,2005</w:t>
      </w:r>
      <w:r w:rsidRPr="000C66AD">
        <w:rPr>
          <w:rFonts w:ascii="Trebuchet MS" w:eastAsia="Times New Roman" w:hAnsi="Trebuchet MS" w:cs="Times New Roman"/>
          <w:kern w:val="0"/>
          <w:sz w:val="28"/>
          <w:szCs w:val="28"/>
          <w:lang w:eastAsia="en-IN"/>
          <w14:ligatures w14:val="none"/>
        </w:rPr>
        <w:t xml:space="preserve">, </w:t>
      </w:r>
      <w:r w:rsidRPr="000C66AD">
        <w:rPr>
          <w:rFonts w:ascii="Trebuchet MS" w:eastAsia="Times New Roman" w:hAnsi="Trebuchet MS" w:cs="Times New Roman"/>
          <w:kern w:val="0"/>
          <w:sz w:val="28"/>
          <w:szCs w:val="28"/>
          <w:shd w:val="clear" w:color="auto" w:fill="FFFF00"/>
          <w:lang w:eastAsia="en-IN"/>
          <w14:ligatures w14:val="none"/>
        </w:rPr>
        <w:t>only male members of a family</w:t>
      </w:r>
      <w:r w:rsidRPr="000C66AD">
        <w:rPr>
          <w:rFonts w:ascii="Trebuchet MS" w:eastAsia="Times New Roman" w:hAnsi="Trebuchet MS" w:cs="Times New Roman"/>
          <w:kern w:val="0"/>
          <w:sz w:val="28"/>
          <w:szCs w:val="28"/>
          <w:lang w:eastAsia="en-IN"/>
          <w14:ligatures w14:val="none"/>
        </w:rPr>
        <w:t> had a right to the Ancestral property by birth and they were only entitled to demand partition in the HUF Property and thus only male members were called coparceners.</w:t>
      </w:r>
    </w:p>
    <w:p w14:paraId="645DE94F" w14:textId="77777777" w:rsidR="008779D7" w:rsidRPr="000C66AD" w:rsidRDefault="008779D7" w:rsidP="008779D7">
      <w:pPr>
        <w:pStyle w:val="ListParagraph"/>
        <w:spacing w:line="300" w:lineRule="atLeast"/>
        <w:jc w:val="both"/>
        <w:rPr>
          <w:rFonts w:ascii="Trebuchet MS" w:eastAsia="Times New Roman" w:hAnsi="Trebuchet MS" w:cs="Times New Roman"/>
          <w:kern w:val="0"/>
          <w:sz w:val="28"/>
          <w:szCs w:val="28"/>
          <w:lang w:eastAsia="en-IN"/>
          <w14:ligatures w14:val="none"/>
        </w:rPr>
      </w:pPr>
    </w:p>
    <w:p w14:paraId="2435A4C8" w14:textId="46811F93" w:rsidR="008779D7" w:rsidRPr="000C66AD" w:rsidRDefault="008779D7" w:rsidP="008779D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Post 20</w:t>
      </w:r>
      <w:r w:rsidR="00ED3D06" w:rsidRPr="000C66AD">
        <w:rPr>
          <w:rFonts w:ascii="Trebuchet MS" w:eastAsia="Times New Roman" w:hAnsi="Trebuchet MS" w:cs="Times New Roman"/>
          <w:kern w:val="0"/>
          <w:sz w:val="28"/>
          <w:szCs w:val="28"/>
          <w:lang w:eastAsia="en-IN"/>
          <w14:ligatures w14:val="none"/>
        </w:rPr>
        <w:t>0</w:t>
      </w:r>
      <w:r w:rsidRPr="000C66AD">
        <w:rPr>
          <w:rFonts w:ascii="Trebuchet MS" w:eastAsia="Times New Roman" w:hAnsi="Trebuchet MS" w:cs="Times New Roman"/>
          <w:kern w:val="0"/>
          <w:sz w:val="28"/>
          <w:szCs w:val="28"/>
          <w:lang w:eastAsia="en-IN"/>
          <w14:ligatures w14:val="none"/>
        </w:rPr>
        <w:t xml:space="preserve">5 amendment, even Daughters have rights equal to that of a son. </w:t>
      </w:r>
    </w:p>
    <w:p w14:paraId="69B45A17" w14:textId="152DC229" w:rsidR="008779D7" w:rsidRPr="000C66AD" w:rsidRDefault="008779D7" w:rsidP="008779D7">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So, can the daughter become co-parcener?</w:t>
      </w:r>
    </w:p>
    <w:p w14:paraId="12E645F7" w14:textId="18DD25CB" w:rsidR="0042172D" w:rsidRPr="000C66AD" w:rsidRDefault="0042172D" w:rsidP="008779D7">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What is the status of Married Daughters Coparcenary Right?</w:t>
      </w:r>
    </w:p>
    <w:p w14:paraId="0B351324" w14:textId="3117E1D8" w:rsidR="008779D7" w:rsidRPr="000C66AD" w:rsidRDefault="008779D7" w:rsidP="008779D7">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Can, the wife become co-parcener of her Husband’s HUF? </w:t>
      </w:r>
    </w:p>
    <w:p w14:paraId="3EEEA840" w14:textId="4756A83E" w:rsidR="00E73AA7" w:rsidRPr="000C66AD" w:rsidRDefault="00E73AA7" w:rsidP="00E73AA7">
      <w:pPr>
        <w:spacing w:line="300" w:lineRule="atLeast"/>
        <w:jc w:val="both"/>
        <w:rPr>
          <w:rFonts w:ascii="Trebuchet MS" w:eastAsia="Times New Roman" w:hAnsi="Trebuchet MS" w:cs="Times New Roman"/>
          <w:kern w:val="0"/>
          <w:sz w:val="28"/>
          <w:szCs w:val="28"/>
          <w:lang w:eastAsia="en-IN"/>
          <w14:ligatures w14:val="none"/>
        </w:rPr>
      </w:pPr>
    </w:p>
    <w:p w14:paraId="6F88DDF0" w14:textId="1263CDAA" w:rsidR="00E73AA7" w:rsidRPr="000C66AD" w:rsidRDefault="00E73AA7" w:rsidP="00E73AA7">
      <w:pPr>
        <w:spacing w:line="300" w:lineRule="atLeast"/>
        <w:jc w:val="both"/>
        <w:rPr>
          <w:rFonts w:ascii="Trebuchet MS" w:eastAsia="Times New Roman" w:hAnsi="Trebuchet MS" w:cs="Times New Roman"/>
          <w:b/>
          <w:bCs/>
          <w:kern w:val="0"/>
          <w:sz w:val="28"/>
          <w:szCs w:val="28"/>
          <w:lang w:eastAsia="en-IN"/>
          <w14:ligatures w14:val="none"/>
        </w:rPr>
      </w:pPr>
      <w:r w:rsidRPr="000C66AD">
        <w:rPr>
          <w:rFonts w:ascii="Trebuchet MS" w:eastAsia="Times New Roman" w:hAnsi="Trebuchet MS" w:cs="Times New Roman"/>
          <w:b/>
          <w:bCs/>
          <w:kern w:val="0"/>
          <w:sz w:val="28"/>
          <w:szCs w:val="28"/>
          <w:lang w:eastAsia="en-IN"/>
          <w14:ligatures w14:val="none"/>
        </w:rPr>
        <w:t>Member Vs Co-parcener</w:t>
      </w:r>
    </w:p>
    <w:p w14:paraId="376D99E8" w14:textId="1BE6E3CB" w:rsidR="00E73AA7" w:rsidRPr="000C66AD" w:rsidRDefault="00E73AA7" w:rsidP="00E73AA7">
      <w:pPr>
        <w:pStyle w:val="ListParagraph"/>
        <w:numPr>
          <w:ilvl w:val="0"/>
          <w:numId w:val="3"/>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Member cannot demand partition </w:t>
      </w:r>
    </w:p>
    <w:p w14:paraId="1D9D1ED6" w14:textId="7DE561E3" w:rsidR="00E73AA7" w:rsidRPr="000C66AD" w:rsidRDefault="00E73AA7" w:rsidP="00E73AA7">
      <w:pPr>
        <w:pStyle w:val="ListParagraph"/>
        <w:numPr>
          <w:ilvl w:val="0"/>
          <w:numId w:val="3"/>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Co-parcener can demand partition</w:t>
      </w:r>
    </w:p>
    <w:p w14:paraId="77BBE1F4" w14:textId="77777777" w:rsidR="00E73AA7" w:rsidRPr="000C66AD" w:rsidRDefault="00E73AA7" w:rsidP="00E73AA7">
      <w:pPr>
        <w:pStyle w:val="ListParagraph"/>
        <w:spacing w:line="300" w:lineRule="atLeast"/>
        <w:jc w:val="both"/>
        <w:rPr>
          <w:rFonts w:ascii="Trebuchet MS" w:eastAsia="Times New Roman" w:hAnsi="Trebuchet MS" w:cs="Times New Roman"/>
          <w:kern w:val="0"/>
          <w:sz w:val="28"/>
          <w:szCs w:val="28"/>
          <w:lang w:eastAsia="en-IN"/>
          <w14:ligatures w14:val="none"/>
        </w:rPr>
      </w:pPr>
    </w:p>
    <w:p w14:paraId="045E47E8" w14:textId="30C103CF" w:rsidR="00E73AA7" w:rsidRPr="000C66AD" w:rsidRDefault="00E73AA7" w:rsidP="00E73AA7">
      <w:pPr>
        <w:pStyle w:val="ListParagraph"/>
        <w:numPr>
          <w:ilvl w:val="0"/>
          <w:numId w:val="3"/>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Member cannot become Karta</w:t>
      </w:r>
    </w:p>
    <w:p w14:paraId="18301C64" w14:textId="4A17A881" w:rsidR="00E73AA7" w:rsidRPr="000C66AD" w:rsidRDefault="00E73AA7" w:rsidP="00E73AA7">
      <w:pPr>
        <w:pStyle w:val="ListParagraph"/>
        <w:numPr>
          <w:ilvl w:val="0"/>
          <w:numId w:val="3"/>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Co-parcener can only become Karta</w:t>
      </w:r>
    </w:p>
    <w:p w14:paraId="6ECD422D" w14:textId="77777777" w:rsidR="00E73AA7" w:rsidRPr="000C66AD" w:rsidRDefault="00E73AA7" w:rsidP="00E73AA7">
      <w:pPr>
        <w:spacing w:line="300" w:lineRule="atLeast"/>
        <w:jc w:val="both"/>
        <w:rPr>
          <w:rFonts w:ascii="Trebuchet MS" w:eastAsia="Times New Roman" w:hAnsi="Trebuchet MS" w:cs="Times New Roman"/>
          <w:kern w:val="0"/>
          <w:sz w:val="28"/>
          <w:szCs w:val="28"/>
          <w:lang w:eastAsia="en-IN"/>
          <w14:ligatures w14:val="none"/>
        </w:rPr>
      </w:pPr>
    </w:p>
    <w:p w14:paraId="0C53BDF8" w14:textId="133640BC" w:rsidR="00E73AA7" w:rsidRPr="000C66AD" w:rsidRDefault="00E73AA7" w:rsidP="00E73AA7">
      <w:pPr>
        <w:spacing w:line="300" w:lineRule="atLeast"/>
        <w:jc w:val="both"/>
        <w:rPr>
          <w:rFonts w:ascii="Trebuchet MS" w:eastAsia="Times New Roman" w:hAnsi="Trebuchet MS" w:cs="Times New Roman"/>
          <w:b/>
          <w:bCs/>
          <w:kern w:val="0"/>
          <w:sz w:val="28"/>
          <w:szCs w:val="28"/>
          <w:lang w:eastAsia="en-IN"/>
          <w14:ligatures w14:val="none"/>
        </w:rPr>
      </w:pPr>
      <w:r w:rsidRPr="000C66AD">
        <w:rPr>
          <w:rFonts w:ascii="Trebuchet MS" w:eastAsia="Times New Roman" w:hAnsi="Trebuchet MS" w:cs="Times New Roman"/>
          <w:b/>
          <w:bCs/>
          <w:kern w:val="0"/>
          <w:sz w:val="28"/>
          <w:szCs w:val="28"/>
          <w:lang w:eastAsia="en-IN"/>
          <w14:ligatures w14:val="none"/>
        </w:rPr>
        <w:t>Who is Karta:</w:t>
      </w:r>
    </w:p>
    <w:p w14:paraId="6CB96351" w14:textId="119D6490" w:rsidR="00E73AA7" w:rsidRPr="000C66AD" w:rsidRDefault="00E73AA7" w:rsidP="00E73AA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Manager of the Families Property</w:t>
      </w:r>
    </w:p>
    <w:p w14:paraId="74EC6305" w14:textId="77777777" w:rsidR="00BA1917" w:rsidRPr="000C66AD" w:rsidRDefault="00BA1917" w:rsidP="00BA1917">
      <w:pPr>
        <w:pStyle w:val="ListParagraph"/>
        <w:spacing w:line="300" w:lineRule="atLeast"/>
        <w:jc w:val="both"/>
        <w:rPr>
          <w:rFonts w:ascii="Trebuchet MS" w:eastAsia="Times New Roman" w:hAnsi="Trebuchet MS" w:cs="Times New Roman"/>
          <w:kern w:val="0"/>
          <w:sz w:val="28"/>
          <w:szCs w:val="28"/>
          <w:lang w:eastAsia="en-IN"/>
          <w14:ligatures w14:val="none"/>
        </w:rPr>
      </w:pPr>
    </w:p>
    <w:p w14:paraId="3472F94F" w14:textId="30196EB6" w:rsidR="00E73AA7" w:rsidRPr="000C66AD" w:rsidRDefault="00E73AA7" w:rsidP="00E73AA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He has the responsibility to take care of the Family Property</w:t>
      </w:r>
    </w:p>
    <w:p w14:paraId="4C273752" w14:textId="77777777" w:rsidR="00BA1917" w:rsidRPr="000C66AD" w:rsidRDefault="00BA1917" w:rsidP="00BA1917">
      <w:pPr>
        <w:pStyle w:val="ListParagraph"/>
        <w:spacing w:line="300" w:lineRule="atLeast"/>
        <w:jc w:val="both"/>
        <w:rPr>
          <w:rFonts w:ascii="Trebuchet MS" w:eastAsia="Times New Roman" w:hAnsi="Trebuchet MS" w:cs="Times New Roman"/>
          <w:kern w:val="0"/>
          <w:sz w:val="28"/>
          <w:szCs w:val="28"/>
          <w:lang w:eastAsia="en-IN"/>
          <w14:ligatures w14:val="none"/>
        </w:rPr>
      </w:pPr>
    </w:p>
    <w:p w14:paraId="61022EA4" w14:textId="75C4CC85" w:rsidR="00E73AA7" w:rsidRPr="000C66AD" w:rsidRDefault="00E73AA7" w:rsidP="00E73AA7">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The senior most male member of the Family is Karta</w:t>
      </w:r>
    </w:p>
    <w:p w14:paraId="71C8B7F6" w14:textId="77777777" w:rsidR="00C1584C" w:rsidRPr="000C66AD" w:rsidRDefault="00C1584C" w:rsidP="00C1584C">
      <w:pPr>
        <w:pStyle w:val="ListParagraph"/>
        <w:spacing w:line="300" w:lineRule="atLeast"/>
        <w:ind w:left="1440"/>
        <w:jc w:val="both"/>
        <w:rPr>
          <w:rFonts w:ascii="Trebuchet MS" w:eastAsia="Times New Roman" w:hAnsi="Trebuchet MS" w:cs="Times New Roman"/>
          <w:kern w:val="0"/>
          <w:sz w:val="28"/>
          <w:szCs w:val="28"/>
          <w:lang w:eastAsia="en-IN"/>
          <w14:ligatures w14:val="none"/>
        </w:rPr>
      </w:pPr>
    </w:p>
    <w:p w14:paraId="6F9303DF" w14:textId="401D88D1" w:rsidR="00C1584C" w:rsidRPr="000C66AD" w:rsidRDefault="00C1584C" w:rsidP="00C1584C">
      <w:pPr>
        <w:pStyle w:val="ListParagraph"/>
        <w:spacing w:line="300" w:lineRule="atLeast"/>
        <w:ind w:left="1440"/>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Questions? </w:t>
      </w:r>
    </w:p>
    <w:p w14:paraId="0CAFA2FD" w14:textId="1DC03547" w:rsidR="00E73AA7" w:rsidRPr="000C66AD" w:rsidRDefault="00E73AA7" w:rsidP="00E73AA7">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So, can the daughter become Karta of HUF? (De jure)</w:t>
      </w:r>
    </w:p>
    <w:p w14:paraId="7E7AE090" w14:textId="551C5DB1" w:rsidR="00E73AA7" w:rsidRPr="000C66AD" w:rsidRDefault="00E73AA7" w:rsidP="00E73AA7">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Can wife of deceased Karta become Karta where there is no Male coparcener who has attained Majority? (De </w:t>
      </w:r>
      <w:r w:rsidR="00C1584C" w:rsidRPr="000C66AD">
        <w:rPr>
          <w:rFonts w:ascii="Trebuchet MS" w:eastAsia="Times New Roman" w:hAnsi="Trebuchet MS" w:cs="Times New Roman"/>
          <w:kern w:val="0"/>
          <w:sz w:val="28"/>
          <w:szCs w:val="28"/>
          <w:lang w:eastAsia="en-IN"/>
          <w14:ligatures w14:val="none"/>
        </w:rPr>
        <w:t>Facto</w:t>
      </w:r>
      <w:r w:rsidRPr="000C66AD">
        <w:rPr>
          <w:rFonts w:ascii="Trebuchet MS" w:eastAsia="Times New Roman" w:hAnsi="Trebuchet MS" w:cs="Times New Roman"/>
          <w:kern w:val="0"/>
          <w:sz w:val="28"/>
          <w:szCs w:val="28"/>
          <w:lang w:eastAsia="en-IN"/>
          <w14:ligatures w14:val="none"/>
        </w:rPr>
        <w:t>)</w:t>
      </w:r>
    </w:p>
    <w:p w14:paraId="7A42DC94" w14:textId="6868FEAE" w:rsidR="00C1584C" w:rsidRPr="000C66AD" w:rsidRDefault="00C1584C" w:rsidP="00C1584C">
      <w:pPr>
        <w:pStyle w:val="ListParagraph"/>
        <w:numPr>
          <w:ilvl w:val="2"/>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CIT Vs Seth Govindram Sugar Mills [1965] 57 ITR 510 (SC) – Widow Cant be Karta, though she can be treated as Karta for IT Assessment.</w:t>
      </w:r>
    </w:p>
    <w:p w14:paraId="1357E79E" w14:textId="18A65527" w:rsidR="00BA1917" w:rsidRPr="000C66AD" w:rsidRDefault="00C1584C" w:rsidP="00C1584C">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C</w:t>
      </w:r>
      <w:r w:rsidR="00BA1917" w:rsidRPr="000C66AD">
        <w:rPr>
          <w:rFonts w:ascii="Trebuchet MS" w:eastAsia="Times New Roman" w:hAnsi="Trebuchet MS" w:cs="Times New Roman"/>
          <w:kern w:val="0"/>
          <w:sz w:val="28"/>
          <w:szCs w:val="28"/>
          <w:lang w:eastAsia="en-IN"/>
          <w14:ligatures w14:val="none"/>
        </w:rPr>
        <w:t>an Junior family member become Karta?</w:t>
      </w:r>
    </w:p>
    <w:p w14:paraId="3AE24B0F" w14:textId="77777777" w:rsidR="00E73AA7" w:rsidRPr="000C66AD" w:rsidRDefault="00E73AA7" w:rsidP="00E73AA7">
      <w:pPr>
        <w:pStyle w:val="ListParagraph"/>
        <w:spacing w:line="300" w:lineRule="atLeast"/>
        <w:jc w:val="both"/>
        <w:rPr>
          <w:rFonts w:ascii="Trebuchet MS" w:eastAsia="Times New Roman" w:hAnsi="Trebuchet MS" w:cs="Times New Roman"/>
          <w:kern w:val="0"/>
          <w:sz w:val="28"/>
          <w:szCs w:val="28"/>
          <w:lang w:eastAsia="en-IN"/>
          <w14:ligatures w14:val="none"/>
        </w:rPr>
      </w:pPr>
    </w:p>
    <w:p w14:paraId="2E04FE21" w14:textId="78523C19" w:rsidR="00E73AA7" w:rsidRPr="000C66AD" w:rsidRDefault="00E73AA7" w:rsidP="00E73AA7">
      <w:pPr>
        <w:pStyle w:val="ListParagraph"/>
        <w:spacing w:line="300" w:lineRule="atLeast"/>
        <w:jc w:val="both"/>
        <w:rPr>
          <w:rFonts w:ascii="Trebuchet MS" w:eastAsia="Times New Roman" w:hAnsi="Trebuchet MS" w:cs="Times New Roman"/>
          <w:kern w:val="0"/>
          <w:sz w:val="28"/>
          <w:szCs w:val="28"/>
          <w:lang w:eastAsia="en-IN"/>
          <w14:ligatures w14:val="none"/>
        </w:rPr>
      </w:pPr>
    </w:p>
    <w:p w14:paraId="68398762" w14:textId="7E2E9F7F" w:rsidR="00210F23" w:rsidRPr="000C66AD" w:rsidRDefault="00210F23" w:rsidP="00210F23">
      <w:pPr>
        <w:pStyle w:val="ListParagraph"/>
        <w:spacing w:line="300" w:lineRule="atLeast"/>
        <w:ind w:left="0"/>
        <w:jc w:val="both"/>
        <w:rPr>
          <w:rFonts w:ascii="Trebuchet MS" w:eastAsia="Times New Roman" w:hAnsi="Trebuchet MS" w:cs="Times New Roman"/>
          <w:b/>
          <w:bCs/>
          <w:kern w:val="0"/>
          <w:sz w:val="28"/>
          <w:szCs w:val="28"/>
          <w:u w:val="single"/>
          <w:lang w:eastAsia="en-IN"/>
          <w14:ligatures w14:val="none"/>
        </w:rPr>
      </w:pPr>
      <w:r w:rsidRPr="000C66AD">
        <w:rPr>
          <w:rFonts w:ascii="Trebuchet MS" w:eastAsia="Times New Roman" w:hAnsi="Trebuchet MS" w:cs="Times New Roman"/>
          <w:b/>
          <w:bCs/>
          <w:kern w:val="0"/>
          <w:sz w:val="28"/>
          <w:szCs w:val="28"/>
          <w:u w:val="single"/>
          <w:lang w:eastAsia="en-IN"/>
          <w14:ligatures w14:val="none"/>
        </w:rPr>
        <w:t>Income-tax Provisions related to HUF</w:t>
      </w:r>
    </w:p>
    <w:p w14:paraId="158913D7" w14:textId="77777777" w:rsidR="00210F23" w:rsidRPr="000C66AD" w:rsidRDefault="00210F23" w:rsidP="00E73AA7">
      <w:pPr>
        <w:pStyle w:val="ListParagraph"/>
        <w:spacing w:line="300" w:lineRule="atLeast"/>
        <w:jc w:val="both"/>
        <w:rPr>
          <w:rFonts w:ascii="Trebuchet MS" w:eastAsia="Times New Roman" w:hAnsi="Trebuchet MS" w:cs="Times New Roman"/>
          <w:kern w:val="0"/>
          <w:sz w:val="28"/>
          <w:szCs w:val="28"/>
          <w:lang w:eastAsia="en-IN"/>
          <w14:ligatures w14:val="none"/>
        </w:rPr>
      </w:pPr>
    </w:p>
    <w:p w14:paraId="5266E2E8" w14:textId="3E2785B5" w:rsidR="00210F23" w:rsidRPr="000C66AD" w:rsidRDefault="00210F23" w:rsidP="00210F23">
      <w:pPr>
        <w:pStyle w:val="ListParagraph"/>
        <w:numPr>
          <w:ilvl w:val="0"/>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b/>
          <w:bCs/>
          <w:kern w:val="0"/>
          <w:sz w:val="28"/>
          <w:szCs w:val="28"/>
          <w:lang w:eastAsia="en-IN"/>
          <w14:ligatures w14:val="none"/>
        </w:rPr>
        <w:t>Section 2(31): HUF is a separate person</w:t>
      </w:r>
      <w:r w:rsidRPr="000C66AD">
        <w:rPr>
          <w:rFonts w:ascii="Trebuchet MS" w:eastAsia="Times New Roman" w:hAnsi="Trebuchet MS" w:cs="Times New Roman"/>
          <w:kern w:val="0"/>
          <w:sz w:val="28"/>
          <w:szCs w:val="28"/>
          <w:lang w:eastAsia="en-IN"/>
          <w14:ligatures w14:val="none"/>
        </w:rPr>
        <w:t>.</w:t>
      </w:r>
    </w:p>
    <w:p w14:paraId="197EE16F" w14:textId="4A91875A" w:rsidR="00210F23" w:rsidRPr="000C66AD" w:rsidRDefault="00210F23" w:rsidP="00210F23">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lastRenderedPageBreak/>
        <w:t>Accordingly, under Income-tax Act HUF is a separate entity.</w:t>
      </w:r>
    </w:p>
    <w:p w14:paraId="131C8E2B" w14:textId="5E7D4952" w:rsidR="00210F23" w:rsidRPr="000C66AD" w:rsidRDefault="00210F23" w:rsidP="00210F23">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That means, </w:t>
      </w:r>
      <w:r w:rsidR="006004E2" w:rsidRPr="000C66AD">
        <w:rPr>
          <w:rFonts w:ascii="Trebuchet MS" w:eastAsia="Times New Roman" w:hAnsi="Trebuchet MS" w:cs="Times New Roman"/>
          <w:kern w:val="0"/>
          <w:sz w:val="28"/>
          <w:szCs w:val="28"/>
          <w:lang w:eastAsia="en-IN"/>
          <w14:ligatures w14:val="none"/>
        </w:rPr>
        <w:t>Assessable independently from other family members.</w:t>
      </w:r>
    </w:p>
    <w:p w14:paraId="778990D7" w14:textId="77777777" w:rsidR="000C66AD" w:rsidRPr="000C66AD" w:rsidRDefault="000C66AD" w:rsidP="000C66AD">
      <w:pPr>
        <w:pStyle w:val="ListParagraph"/>
        <w:spacing w:line="300" w:lineRule="atLeast"/>
        <w:ind w:left="1440"/>
        <w:jc w:val="both"/>
        <w:rPr>
          <w:rFonts w:ascii="Trebuchet MS" w:eastAsia="Times New Roman" w:hAnsi="Trebuchet MS" w:cs="Times New Roman"/>
          <w:kern w:val="0"/>
          <w:sz w:val="28"/>
          <w:szCs w:val="28"/>
          <w:lang w:eastAsia="en-IN"/>
          <w14:ligatures w14:val="none"/>
        </w:rPr>
      </w:pPr>
    </w:p>
    <w:p w14:paraId="6A303D8D" w14:textId="4EA6467A" w:rsidR="00B4616F" w:rsidRPr="000C66AD" w:rsidRDefault="000C66AD" w:rsidP="000C66AD">
      <w:pPr>
        <w:spacing w:line="300" w:lineRule="atLeast"/>
        <w:jc w:val="both"/>
        <w:rPr>
          <w:rFonts w:ascii="Trebuchet MS" w:eastAsia="Times New Roman" w:hAnsi="Trebuchet MS" w:cs="Times New Roman"/>
          <w:b/>
          <w:bCs/>
          <w:kern w:val="0"/>
          <w:sz w:val="28"/>
          <w:szCs w:val="28"/>
          <w:lang w:eastAsia="en-IN"/>
          <w14:ligatures w14:val="none"/>
        </w:rPr>
      </w:pPr>
      <w:r w:rsidRPr="000C66AD">
        <w:rPr>
          <w:rFonts w:ascii="Trebuchet MS" w:eastAsia="Times New Roman" w:hAnsi="Trebuchet MS" w:cs="Times New Roman"/>
          <w:b/>
          <w:bCs/>
          <w:kern w:val="0"/>
          <w:sz w:val="28"/>
          <w:szCs w:val="28"/>
          <w:lang w:eastAsia="en-IN"/>
          <w14:ligatures w14:val="none"/>
        </w:rPr>
        <w:t>Section 56(2)(x)</w:t>
      </w:r>
    </w:p>
    <w:p w14:paraId="2D89FB95" w14:textId="77777777" w:rsidR="000C66AD" w:rsidRPr="000C66AD" w:rsidRDefault="000C66AD" w:rsidP="000C66AD">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Whether Property or Money received by HUF from its Members is taxable in the hands of HUF? </w:t>
      </w:r>
    </w:p>
    <w:p w14:paraId="524A13D0" w14:textId="7E3D5D99" w:rsidR="000C66AD" w:rsidRPr="000C66AD" w:rsidRDefault="000C66AD" w:rsidP="000C66AD">
      <w:pPr>
        <w:pStyle w:val="ListParagraph"/>
        <w:numPr>
          <w:ilvl w:val="2"/>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To HUF member is considered as relative. </w:t>
      </w:r>
    </w:p>
    <w:p w14:paraId="43C03ECE" w14:textId="5FCB11C1" w:rsidR="000C66AD" w:rsidRPr="000C66AD" w:rsidRDefault="000C66AD" w:rsidP="000C66AD">
      <w:pPr>
        <w:pStyle w:val="ListParagraph"/>
        <w:numPr>
          <w:ilvl w:val="2"/>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Reference is made to section </w:t>
      </w:r>
      <w:r w:rsidRPr="000C66AD">
        <w:rPr>
          <w:rFonts w:ascii="Trebuchet MS" w:eastAsia="Times New Roman" w:hAnsi="Trebuchet MS" w:cs="Times New Roman"/>
          <w:kern w:val="0"/>
          <w:sz w:val="28"/>
          <w:szCs w:val="28"/>
          <w:lang w:eastAsia="en-IN"/>
          <w14:ligatures w14:val="none"/>
        </w:rPr>
        <w:t>56(2)(vii)- Gift received by the HUF from member is not forming part of IOS</w:t>
      </w:r>
    </w:p>
    <w:p w14:paraId="41364CD6" w14:textId="77777777" w:rsidR="000C66AD" w:rsidRPr="000C66AD" w:rsidRDefault="000C66AD" w:rsidP="000C66AD">
      <w:pPr>
        <w:pStyle w:val="ListParagraph"/>
        <w:spacing w:line="300" w:lineRule="atLeast"/>
        <w:ind w:left="1440"/>
        <w:jc w:val="both"/>
        <w:rPr>
          <w:rFonts w:ascii="Trebuchet MS" w:eastAsia="Times New Roman" w:hAnsi="Trebuchet MS" w:cs="Times New Roman"/>
          <w:kern w:val="0"/>
          <w:sz w:val="28"/>
          <w:szCs w:val="28"/>
          <w:lang w:eastAsia="en-IN"/>
          <w14:ligatures w14:val="none"/>
        </w:rPr>
      </w:pPr>
    </w:p>
    <w:p w14:paraId="01288352" w14:textId="77777777" w:rsidR="000C66AD" w:rsidRPr="000C66AD" w:rsidRDefault="000C66AD" w:rsidP="000C66AD">
      <w:pPr>
        <w:pStyle w:val="ListParagraph"/>
        <w:numPr>
          <w:ilvl w:val="1"/>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What about converse situation, i.e., gift received by the members from the HUF-</w:t>
      </w:r>
    </w:p>
    <w:p w14:paraId="5B2E8C13" w14:textId="36DFEAA5" w:rsidR="000C66AD" w:rsidRPr="000C66AD" w:rsidRDefault="000C66AD" w:rsidP="000C66AD">
      <w:pPr>
        <w:pStyle w:val="ListParagraph"/>
        <w:numPr>
          <w:ilvl w:val="2"/>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C</w:t>
      </w:r>
      <w:r w:rsidRPr="000C66AD">
        <w:rPr>
          <w:rFonts w:ascii="Trebuchet MS" w:eastAsia="Times New Roman" w:hAnsi="Trebuchet MS" w:cs="Times New Roman"/>
          <w:kern w:val="0"/>
          <w:sz w:val="28"/>
          <w:szCs w:val="28"/>
          <w:lang w:eastAsia="en-IN"/>
          <w14:ligatures w14:val="none"/>
        </w:rPr>
        <w:t>an one say that family means group of relatives- lineal ascendents or descendants- which are otherwise considered as relative- should also be covered in the meaning of relative- as to exclude the gift received by member from the HUF.</w:t>
      </w:r>
    </w:p>
    <w:p w14:paraId="23C0A90B" w14:textId="77777777" w:rsidR="000C66AD" w:rsidRPr="000C66AD" w:rsidRDefault="000C66AD" w:rsidP="000C66AD">
      <w:pPr>
        <w:pStyle w:val="ListParagraph"/>
        <w:spacing w:line="300" w:lineRule="atLeast"/>
        <w:ind w:left="1440"/>
        <w:jc w:val="both"/>
        <w:rPr>
          <w:rFonts w:ascii="Trebuchet MS" w:eastAsia="Times New Roman" w:hAnsi="Trebuchet MS" w:cs="Times New Roman"/>
          <w:kern w:val="0"/>
          <w:sz w:val="28"/>
          <w:szCs w:val="28"/>
          <w:lang w:eastAsia="en-IN"/>
          <w14:ligatures w14:val="none"/>
        </w:rPr>
      </w:pPr>
    </w:p>
    <w:p w14:paraId="3121D34E" w14:textId="77777777" w:rsidR="000C66AD" w:rsidRPr="000C66AD" w:rsidRDefault="000C66AD" w:rsidP="000C66AD">
      <w:pPr>
        <w:pStyle w:val="ListParagraph"/>
        <w:numPr>
          <w:ilvl w:val="2"/>
          <w:numId w:val="2"/>
        </w:num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Can one also say that, when income received by the member from the HUF is exempt [sec 2(10)]- so why the gift received from the HUF be taxed?</w:t>
      </w:r>
    </w:p>
    <w:p w14:paraId="79B415AC" w14:textId="77777777" w:rsidR="000C66AD" w:rsidRPr="000C66AD" w:rsidRDefault="000C66AD" w:rsidP="000C66AD">
      <w:pPr>
        <w:pStyle w:val="ListParagraph"/>
        <w:spacing w:line="300" w:lineRule="atLeast"/>
        <w:ind w:left="1440"/>
        <w:jc w:val="both"/>
        <w:rPr>
          <w:rFonts w:ascii="Trebuchet MS" w:eastAsia="Times New Roman" w:hAnsi="Trebuchet MS" w:cs="Times New Roman"/>
          <w:kern w:val="0"/>
          <w:sz w:val="28"/>
          <w:szCs w:val="28"/>
          <w:lang w:eastAsia="en-IN"/>
          <w14:ligatures w14:val="none"/>
        </w:rPr>
      </w:pPr>
    </w:p>
    <w:p w14:paraId="0CB06C7C" w14:textId="2BC7514B" w:rsidR="000C66AD" w:rsidRPr="000C66AD" w:rsidRDefault="000C66AD" w:rsidP="000C66AD">
      <w:pPr>
        <w:pStyle w:val="ListParagraph"/>
        <w:spacing w:line="300" w:lineRule="atLeast"/>
        <w:ind w:left="2160"/>
        <w:jc w:val="both"/>
        <w:rPr>
          <w:rFonts w:ascii="Times New Roman" w:eastAsia="Times New Roman" w:hAnsi="Times New Roman" w:cs="Times New Roman"/>
          <w:i/>
          <w:iCs/>
          <w:kern w:val="0"/>
          <w:sz w:val="28"/>
          <w:szCs w:val="28"/>
          <w:lang w:eastAsia="en-IN"/>
          <w14:ligatures w14:val="none"/>
        </w:rPr>
      </w:pPr>
      <w:r w:rsidRPr="000C66AD">
        <w:rPr>
          <w:rFonts w:ascii="Times New Roman" w:eastAsia="Times New Roman" w:hAnsi="Times New Roman" w:cs="Times New Roman"/>
          <w:i/>
          <w:iCs/>
          <w:kern w:val="0"/>
          <w:sz w:val="28"/>
          <w:szCs w:val="28"/>
          <w:lang w:eastAsia="en-IN"/>
          <w14:ligatures w14:val="none"/>
        </w:rPr>
        <w:t xml:space="preserve">Section 10. </w:t>
      </w:r>
      <w:r w:rsidRPr="000C66AD">
        <w:rPr>
          <w:rFonts w:ascii="Times New Roman" w:eastAsia="Times New Roman" w:hAnsi="Times New Roman" w:cs="Times New Roman"/>
          <w:i/>
          <w:iCs/>
          <w:kern w:val="0"/>
          <w:sz w:val="28"/>
          <w:szCs w:val="28"/>
          <w:lang w:eastAsia="en-IN"/>
          <w14:ligatures w14:val="none"/>
        </w:rPr>
        <w:t>Incomes not included in total income.</w:t>
      </w:r>
    </w:p>
    <w:p w14:paraId="673E9468" w14:textId="188679D3" w:rsidR="000C66AD" w:rsidRPr="000C66AD" w:rsidRDefault="000C66AD" w:rsidP="000C66AD">
      <w:pPr>
        <w:pStyle w:val="ListParagraph"/>
        <w:spacing w:line="300" w:lineRule="atLeast"/>
        <w:ind w:left="2160"/>
        <w:jc w:val="both"/>
        <w:rPr>
          <w:rFonts w:ascii="Times New Roman" w:eastAsia="Times New Roman" w:hAnsi="Times New Roman" w:cs="Times New Roman"/>
          <w:i/>
          <w:iCs/>
          <w:kern w:val="0"/>
          <w:sz w:val="28"/>
          <w:szCs w:val="28"/>
          <w:lang w:eastAsia="en-IN"/>
          <w14:ligatures w14:val="none"/>
        </w:rPr>
      </w:pPr>
      <w:r w:rsidRPr="000C66AD">
        <w:rPr>
          <w:rFonts w:ascii="Times New Roman" w:eastAsia="Times New Roman" w:hAnsi="Times New Roman" w:cs="Times New Roman"/>
          <w:i/>
          <w:iCs/>
          <w:kern w:val="0"/>
          <w:sz w:val="28"/>
          <w:szCs w:val="28"/>
          <w:lang w:eastAsia="en-IN"/>
          <w14:ligatures w14:val="none"/>
        </w:rPr>
        <w:t>In computing the total income of a previous year of any person, any income falling within any of the following clauses shall not be included—</w:t>
      </w:r>
    </w:p>
    <w:p w14:paraId="66D03EEF" w14:textId="77777777" w:rsidR="000C66AD" w:rsidRPr="000C66AD" w:rsidRDefault="000C66AD" w:rsidP="000C66AD">
      <w:pPr>
        <w:pStyle w:val="ListParagraph"/>
        <w:spacing w:line="300" w:lineRule="atLeast"/>
        <w:ind w:left="2160"/>
        <w:jc w:val="both"/>
        <w:rPr>
          <w:rFonts w:ascii="Times New Roman" w:eastAsia="Times New Roman" w:hAnsi="Times New Roman" w:cs="Times New Roman"/>
          <w:i/>
          <w:iCs/>
          <w:kern w:val="0"/>
          <w:sz w:val="28"/>
          <w:szCs w:val="28"/>
          <w:lang w:eastAsia="en-IN"/>
          <w14:ligatures w14:val="none"/>
        </w:rPr>
      </w:pPr>
      <w:r w:rsidRPr="000C66AD">
        <w:rPr>
          <w:rFonts w:ascii="Times New Roman" w:eastAsia="Times New Roman" w:hAnsi="Times New Roman" w:cs="Times New Roman"/>
          <w:i/>
          <w:iCs/>
          <w:kern w:val="0"/>
          <w:sz w:val="28"/>
          <w:szCs w:val="28"/>
          <w:lang w:eastAsia="en-IN"/>
          <w14:ligatures w14:val="none"/>
        </w:rPr>
        <w:t xml:space="preserve"> (1) ----</w:t>
      </w:r>
    </w:p>
    <w:p w14:paraId="5E0B38E7" w14:textId="77777777" w:rsidR="000C66AD" w:rsidRPr="000C66AD" w:rsidRDefault="000C66AD" w:rsidP="000C66AD">
      <w:pPr>
        <w:pStyle w:val="ListParagraph"/>
        <w:spacing w:line="300" w:lineRule="atLeast"/>
        <w:ind w:left="2160"/>
        <w:jc w:val="both"/>
        <w:rPr>
          <w:rFonts w:ascii="Trebuchet MS" w:eastAsia="Times New Roman" w:hAnsi="Trebuchet MS" w:cs="Times New Roman"/>
          <w:kern w:val="0"/>
          <w:sz w:val="28"/>
          <w:szCs w:val="28"/>
          <w:lang w:eastAsia="en-IN"/>
          <w14:ligatures w14:val="none"/>
        </w:rPr>
      </w:pPr>
      <w:r w:rsidRPr="000C66AD">
        <w:rPr>
          <w:rFonts w:ascii="Times New Roman" w:eastAsia="Times New Roman" w:hAnsi="Times New Roman" w:cs="Times New Roman"/>
          <w:i/>
          <w:iCs/>
          <w:kern w:val="0"/>
          <w:sz w:val="28"/>
          <w:szCs w:val="28"/>
          <w:lang w:eastAsia="en-IN"/>
          <w14:ligatures w14:val="none"/>
        </w:rPr>
        <w:t xml:space="preserve"> (2) subject to the provisions of sub-section (2) of section 64, any sum received by an individual as a member of a Hindu undivided family, where </w:t>
      </w:r>
      <w:r w:rsidRPr="000C66AD">
        <w:rPr>
          <w:rFonts w:ascii="Times New Roman" w:eastAsia="Times New Roman" w:hAnsi="Times New Roman" w:cs="Times New Roman"/>
          <w:i/>
          <w:iCs/>
          <w:kern w:val="0"/>
          <w:sz w:val="28"/>
          <w:szCs w:val="28"/>
          <w:u w:val="single"/>
          <w:lang w:eastAsia="en-IN"/>
          <w14:ligatures w14:val="none"/>
        </w:rPr>
        <w:t>such sum has been paid out of the income of the family, or, in the case of any impartible estate</w:t>
      </w:r>
      <w:r w:rsidRPr="000C66AD">
        <w:rPr>
          <w:rFonts w:ascii="Times New Roman" w:eastAsia="Times New Roman" w:hAnsi="Times New Roman" w:cs="Times New Roman"/>
          <w:i/>
          <w:iCs/>
          <w:kern w:val="0"/>
          <w:sz w:val="28"/>
          <w:szCs w:val="28"/>
          <w:lang w:eastAsia="en-IN"/>
          <w14:ligatures w14:val="none"/>
        </w:rPr>
        <w:t>, where such sum has been paid out of the income of the estate belonging to the family</w:t>
      </w:r>
      <w:r w:rsidRPr="000C66AD">
        <w:rPr>
          <w:rFonts w:ascii="Trebuchet MS" w:eastAsia="Times New Roman" w:hAnsi="Trebuchet MS" w:cs="Times New Roman"/>
          <w:kern w:val="0"/>
          <w:sz w:val="28"/>
          <w:szCs w:val="28"/>
          <w:lang w:eastAsia="en-IN"/>
          <w14:ligatures w14:val="none"/>
        </w:rPr>
        <w:t xml:space="preserve"> ;</w:t>
      </w:r>
    </w:p>
    <w:p w14:paraId="1BDF9033" w14:textId="77777777" w:rsidR="000C66AD" w:rsidRDefault="000C66AD" w:rsidP="000C66AD">
      <w:pPr>
        <w:spacing w:line="300" w:lineRule="atLeast"/>
        <w:jc w:val="both"/>
        <w:rPr>
          <w:rFonts w:ascii="Trebuchet MS" w:eastAsia="Times New Roman" w:hAnsi="Trebuchet MS" w:cs="Times New Roman"/>
          <w:kern w:val="0"/>
          <w:sz w:val="28"/>
          <w:szCs w:val="28"/>
          <w:lang w:eastAsia="en-IN"/>
          <w14:ligatures w14:val="none"/>
        </w:rPr>
      </w:pPr>
    </w:p>
    <w:p w14:paraId="25CFE5CB" w14:textId="77777777" w:rsidR="00B02FA1" w:rsidRPr="000C66AD" w:rsidRDefault="00B02FA1" w:rsidP="00B02FA1">
      <w:pPr>
        <w:spacing w:line="300" w:lineRule="atLeast"/>
        <w:jc w:val="both"/>
        <w:rPr>
          <w:rFonts w:ascii="Georgia" w:eastAsia="Times New Roman" w:hAnsi="Georgia" w:cs="Times New Roman"/>
          <w:kern w:val="0"/>
          <w:sz w:val="28"/>
          <w:szCs w:val="28"/>
          <w:lang w:eastAsia="en-IN"/>
          <w14:ligatures w14:val="none"/>
        </w:rPr>
      </w:pPr>
      <w:r w:rsidRPr="000C66AD">
        <w:rPr>
          <w:rFonts w:ascii="Georgia" w:eastAsia="Times New Roman" w:hAnsi="Georgia" w:cs="Times New Roman"/>
          <w:kern w:val="0"/>
          <w:sz w:val="28"/>
          <w:szCs w:val="28"/>
          <w:lang w:eastAsia="en-IN"/>
          <w14:ligatures w14:val="none"/>
        </w:rPr>
        <w:t>It may also be noted that the Hon'ble Supreme Court in the case of </w:t>
      </w:r>
      <w:r w:rsidRPr="000C66AD">
        <w:rPr>
          <w:rFonts w:ascii="Georgia" w:eastAsia="Times New Roman" w:hAnsi="Georgia" w:cs="Times New Roman"/>
          <w:b/>
          <w:bCs/>
          <w:i/>
          <w:iCs/>
          <w:kern w:val="0"/>
          <w:sz w:val="28"/>
          <w:szCs w:val="28"/>
          <w:lang w:eastAsia="en-IN"/>
          <w14:ligatures w14:val="none"/>
        </w:rPr>
        <w:t>CIT</w:t>
      </w:r>
      <w:r w:rsidRPr="000C66AD">
        <w:rPr>
          <w:rFonts w:ascii="Georgia" w:eastAsia="Times New Roman" w:hAnsi="Georgia" w:cs="Times New Roman"/>
          <w:b/>
          <w:bCs/>
          <w:kern w:val="0"/>
          <w:sz w:val="28"/>
          <w:szCs w:val="28"/>
          <w:lang w:eastAsia="en-IN"/>
          <w14:ligatures w14:val="none"/>
        </w:rPr>
        <w:t> v. </w:t>
      </w:r>
      <w:r w:rsidRPr="000C66AD">
        <w:rPr>
          <w:rFonts w:ascii="Georgia" w:eastAsia="Times New Roman" w:hAnsi="Georgia" w:cs="Times New Roman"/>
          <w:b/>
          <w:bCs/>
          <w:i/>
          <w:iCs/>
          <w:kern w:val="0"/>
          <w:sz w:val="28"/>
          <w:szCs w:val="28"/>
          <w:lang w:eastAsia="en-IN"/>
          <w14:ligatures w14:val="none"/>
        </w:rPr>
        <w:t>N.S. Getti Chettiar </w:t>
      </w:r>
      <w:hyperlink r:id="rId7" w:history="1">
        <w:r w:rsidRPr="000C66AD">
          <w:rPr>
            <w:rFonts w:ascii="Georgia" w:eastAsia="Times New Roman" w:hAnsi="Georgia" w:cs="Times New Roman"/>
            <w:kern w:val="0"/>
            <w:sz w:val="28"/>
            <w:szCs w:val="28"/>
            <w:u w:val="single"/>
            <w:lang w:eastAsia="en-IN"/>
            <w14:ligatures w14:val="none"/>
          </w:rPr>
          <w:t>[1971] 82 ITR 599 (SC)</w:t>
        </w:r>
      </w:hyperlink>
      <w:r w:rsidRPr="000C66AD">
        <w:rPr>
          <w:rFonts w:ascii="Georgia" w:eastAsia="Times New Roman" w:hAnsi="Georgia" w:cs="Times New Roman"/>
          <w:kern w:val="0"/>
          <w:sz w:val="28"/>
          <w:szCs w:val="28"/>
          <w:lang w:eastAsia="en-IN"/>
          <w14:ligatures w14:val="none"/>
        </w:rPr>
        <w:t> held that "a member of a </w:t>
      </w:r>
      <w:r w:rsidRPr="00B02FA1">
        <w:rPr>
          <w:rFonts w:ascii="Georgia" w:eastAsia="Times New Roman" w:hAnsi="Georgia" w:cs="Times New Roman"/>
          <w:kern w:val="0"/>
          <w:sz w:val="28"/>
          <w:szCs w:val="28"/>
          <w:highlight w:val="yellow"/>
          <w:lang w:eastAsia="en-IN"/>
          <w14:ligatures w14:val="none"/>
        </w:rPr>
        <w:t>Hindu joint family has no definite share prior to partition in the family property, so as to presume a gift</w:t>
      </w:r>
      <w:r w:rsidRPr="00B02FA1">
        <w:rPr>
          <w:rFonts w:ascii="Georgia" w:eastAsia="Times New Roman" w:hAnsi="Georgia" w:cs="Times New Roman"/>
          <w:kern w:val="0"/>
          <w:sz w:val="28"/>
          <w:szCs w:val="28"/>
          <w:lang w:eastAsia="en-IN"/>
          <w14:ligatures w14:val="none"/>
        </w:rPr>
        <w:t>. In fact, nothing prevents even surrender of one's interest in joint family</w:t>
      </w:r>
      <w:r w:rsidRPr="000C66AD">
        <w:rPr>
          <w:rFonts w:ascii="Georgia" w:eastAsia="Times New Roman" w:hAnsi="Georgia" w:cs="Times New Roman"/>
          <w:kern w:val="0"/>
          <w:sz w:val="28"/>
          <w:szCs w:val="28"/>
          <w:lang w:eastAsia="en-IN"/>
          <w14:ligatures w14:val="none"/>
        </w:rPr>
        <w:t> property."</w:t>
      </w:r>
    </w:p>
    <w:p w14:paraId="33AF62BB" w14:textId="77777777" w:rsidR="00B02FA1" w:rsidRPr="000C66AD" w:rsidRDefault="00B02FA1" w:rsidP="00B02FA1">
      <w:pPr>
        <w:spacing w:line="300" w:lineRule="atLeast"/>
        <w:jc w:val="both"/>
        <w:rPr>
          <w:rFonts w:ascii="Georgia" w:eastAsia="Times New Roman" w:hAnsi="Georgia" w:cs="Times New Roman"/>
          <w:kern w:val="0"/>
          <w:sz w:val="28"/>
          <w:szCs w:val="28"/>
          <w:lang w:eastAsia="en-IN"/>
          <w14:ligatures w14:val="none"/>
        </w:rPr>
      </w:pPr>
      <w:r w:rsidRPr="000C66AD">
        <w:rPr>
          <w:rFonts w:ascii="Georgia" w:eastAsia="Times New Roman" w:hAnsi="Georgia" w:cs="Times New Roman"/>
          <w:kern w:val="0"/>
          <w:sz w:val="28"/>
          <w:szCs w:val="28"/>
          <w:lang w:eastAsia="en-IN"/>
          <w14:ligatures w14:val="none"/>
        </w:rPr>
        <w:lastRenderedPageBreak/>
        <w:t>The Full Bench of the Gujarat High Court in the case of </w:t>
      </w:r>
      <w:r w:rsidRPr="000C66AD">
        <w:rPr>
          <w:rFonts w:ascii="Georgia" w:eastAsia="Times New Roman" w:hAnsi="Georgia" w:cs="Times New Roman"/>
          <w:b/>
          <w:bCs/>
          <w:i/>
          <w:iCs/>
          <w:kern w:val="0"/>
          <w:sz w:val="28"/>
          <w:szCs w:val="28"/>
          <w:lang w:eastAsia="en-IN"/>
          <w14:ligatures w14:val="none"/>
        </w:rPr>
        <w:t>CIT</w:t>
      </w:r>
      <w:r w:rsidRPr="000C66AD">
        <w:rPr>
          <w:rFonts w:ascii="Georgia" w:eastAsia="Times New Roman" w:hAnsi="Georgia" w:cs="Times New Roman"/>
          <w:b/>
          <w:bCs/>
          <w:kern w:val="0"/>
          <w:sz w:val="28"/>
          <w:szCs w:val="28"/>
          <w:lang w:eastAsia="en-IN"/>
          <w14:ligatures w14:val="none"/>
        </w:rPr>
        <w:t> v. </w:t>
      </w:r>
      <w:r w:rsidRPr="000C66AD">
        <w:rPr>
          <w:rFonts w:ascii="Georgia" w:eastAsia="Times New Roman" w:hAnsi="Georgia" w:cs="Times New Roman"/>
          <w:b/>
          <w:bCs/>
          <w:i/>
          <w:iCs/>
          <w:kern w:val="0"/>
          <w:sz w:val="28"/>
          <w:szCs w:val="28"/>
          <w:lang w:eastAsia="en-IN"/>
          <w14:ligatures w14:val="none"/>
        </w:rPr>
        <w:t>Mrs. Taramati Hariprasad Vasa </w:t>
      </w:r>
      <w:hyperlink r:id="rId8" w:history="1">
        <w:r w:rsidRPr="000C66AD">
          <w:rPr>
            <w:rFonts w:ascii="Georgia" w:eastAsia="Times New Roman" w:hAnsi="Georgia" w:cs="Times New Roman"/>
            <w:kern w:val="0"/>
            <w:sz w:val="28"/>
            <w:szCs w:val="28"/>
            <w:u w:val="single"/>
            <w:lang w:eastAsia="en-IN"/>
            <w14:ligatures w14:val="none"/>
          </w:rPr>
          <w:t>[1969] 74 ITR 211 (Guj) [FB]</w:t>
        </w:r>
      </w:hyperlink>
      <w:r w:rsidRPr="000C66AD">
        <w:rPr>
          <w:rFonts w:ascii="Georgia" w:eastAsia="Times New Roman" w:hAnsi="Georgia" w:cs="Times New Roman"/>
          <w:kern w:val="0"/>
          <w:sz w:val="28"/>
          <w:szCs w:val="28"/>
          <w:lang w:eastAsia="en-IN"/>
          <w14:ligatures w14:val="none"/>
        </w:rPr>
        <w:t xml:space="preserve"> held that " </w:t>
      </w:r>
      <w:r w:rsidRPr="00B02FA1">
        <w:rPr>
          <w:rFonts w:ascii="Georgia" w:eastAsia="Times New Roman" w:hAnsi="Georgia" w:cs="Times New Roman"/>
          <w:kern w:val="0"/>
          <w:sz w:val="28"/>
          <w:szCs w:val="28"/>
          <w:highlight w:val="yellow"/>
          <w:lang w:eastAsia="en-IN"/>
          <w14:ligatures w14:val="none"/>
        </w:rPr>
        <w:t>where the mother was not given a share, though entitled to it under the law, there is no disposition to justify the inference of deemed gift by her as no member can identify his or her interest in the property prior to the partition."</w:t>
      </w:r>
      <w:r w:rsidRPr="000C66AD">
        <w:rPr>
          <w:rFonts w:ascii="Georgia" w:eastAsia="Times New Roman" w:hAnsi="Georgia" w:cs="Times New Roman"/>
          <w:kern w:val="0"/>
          <w:sz w:val="28"/>
          <w:szCs w:val="28"/>
          <w:lang w:eastAsia="en-IN"/>
          <w14:ligatures w14:val="none"/>
        </w:rPr>
        <w:t xml:space="preserve"> It is to be noted that this Full Bench decision was rendered by the Gujarat High Court prior to rendering of the decision by the Hon'ble Supreme Court in the case of </w:t>
      </w:r>
      <w:r w:rsidRPr="000C66AD">
        <w:rPr>
          <w:rFonts w:ascii="Georgia" w:eastAsia="Times New Roman" w:hAnsi="Georgia" w:cs="Times New Roman"/>
          <w:b/>
          <w:bCs/>
          <w:kern w:val="0"/>
          <w:sz w:val="28"/>
          <w:szCs w:val="28"/>
          <w:lang w:eastAsia="en-IN"/>
          <w14:ligatures w14:val="none"/>
        </w:rPr>
        <w:t>N.S. Getti Chettiar</w:t>
      </w:r>
      <w:r w:rsidRPr="000C66AD">
        <w:rPr>
          <w:rFonts w:ascii="Georgia" w:eastAsia="Times New Roman" w:hAnsi="Georgia" w:cs="Times New Roman"/>
          <w:kern w:val="0"/>
          <w:sz w:val="28"/>
          <w:szCs w:val="28"/>
          <w:lang w:eastAsia="en-IN"/>
          <w14:ligatures w14:val="none"/>
        </w:rPr>
        <w:t> (supra).</w:t>
      </w:r>
    </w:p>
    <w:p w14:paraId="5DE142E3" w14:textId="77777777" w:rsidR="00B02FA1" w:rsidRDefault="00B02FA1" w:rsidP="000C66AD">
      <w:pPr>
        <w:spacing w:line="300" w:lineRule="atLeast"/>
        <w:jc w:val="both"/>
        <w:rPr>
          <w:rFonts w:ascii="Trebuchet MS" w:eastAsia="Times New Roman" w:hAnsi="Trebuchet MS" w:cs="Times New Roman"/>
          <w:kern w:val="0"/>
          <w:sz w:val="28"/>
          <w:szCs w:val="28"/>
          <w:lang w:eastAsia="en-IN"/>
          <w14:ligatures w14:val="none"/>
        </w:rPr>
      </w:pPr>
    </w:p>
    <w:p w14:paraId="7764F6ED" w14:textId="43D03ED2" w:rsidR="000C66AD" w:rsidRPr="00465B5B" w:rsidRDefault="000C66AD" w:rsidP="000C66AD">
      <w:pPr>
        <w:spacing w:line="300" w:lineRule="atLeast"/>
        <w:jc w:val="both"/>
        <w:rPr>
          <w:rFonts w:ascii="Trebuchet MS" w:eastAsia="Times New Roman" w:hAnsi="Trebuchet MS" w:cs="Times New Roman"/>
          <w:b/>
          <w:bCs/>
          <w:kern w:val="0"/>
          <w:sz w:val="28"/>
          <w:szCs w:val="28"/>
          <w:u w:val="single"/>
          <w:lang w:eastAsia="en-IN"/>
          <w14:ligatures w14:val="none"/>
        </w:rPr>
      </w:pPr>
      <w:r w:rsidRPr="00465B5B">
        <w:rPr>
          <w:rFonts w:ascii="Trebuchet MS" w:eastAsia="Times New Roman" w:hAnsi="Trebuchet MS" w:cs="Times New Roman"/>
          <w:b/>
          <w:bCs/>
          <w:kern w:val="0"/>
          <w:sz w:val="28"/>
          <w:szCs w:val="28"/>
          <w:u w:val="single"/>
          <w:lang w:eastAsia="en-IN"/>
          <w14:ligatures w14:val="none"/>
        </w:rPr>
        <w:t>Creating Corpus/ capital of HUF</w:t>
      </w:r>
    </w:p>
    <w:p w14:paraId="6F6E89F5" w14:textId="77777777" w:rsidR="000C66AD" w:rsidRDefault="000C66AD" w:rsidP="000C66AD">
      <w:pPr>
        <w:pStyle w:val="ListParagraph"/>
        <w:numPr>
          <w:ilvl w:val="0"/>
          <w:numId w:val="1"/>
        </w:numPr>
        <w:jc w:val="both"/>
        <w:rPr>
          <w:rFonts w:ascii="Trebuchet MS" w:hAnsi="Trebuchet MS"/>
          <w:sz w:val="28"/>
          <w:szCs w:val="28"/>
        </w:rPr>
      </w:pPr>
      <w:r w:rsidRPr="000C66AD">
        <w:rPr>
          <w:rFonts w:ascii="Trebuchet MS" w:hAnsi="Trebuchet MS"/>
          <w:sz w:val="28"/>
          <w:szCs w:val="28"/>
        </w:rPr>
        <w:t>Assets received as gifts by HUF. (relatives or non-relatives). Gift from non-relative should not exceed Rs 50,000.</w:t>
      </w:r>
    </w:p>
    <w:p w14:paraId="347ADB0F" w14:textId="77777777" w:rsidR="00FE09F9" w:rsidRPr="000C66AD" w:rsidRDefault="00FE09F9" w:rsidP="00FE09F9">
      <w:pPr>
        <w:pStyle w:val="ListParagraph"/>
        <w:jc w:val="both"/>
        <w:rPr>
          <w:rFonts w:ascii="Trebuchet MS" w:hAnsi="Trebuchet MS"/>
          <w:sz w:val="28"/>
          <w:szCs w:val="28"/>
        </w:rPr>
      </w:pPr>
    </w:p>
    <w:p w14:paraId="7EAF6520" w14:textId="77777777" w:rsidR="000C66AD" w:rsidRPr="000C66AD" w:rsidRDefault="000C66AD" w:rsidP="000C66AD">
      <w:pPr>
        <w:pStyle w:val="ListParagraph"/>
        <w:numPr>
          <w:ilvl w:val="0"/>
          <w:numId w:val="1"/>
        </w:numPr>
        <w:jc w:val="both"/>
        <w:rPr>
          <w:rFonts w:ascii="Trebuchet MS" w:hAnsi="Trebuchet MS"/>
          <w:b/>
          <w:bCs/>
          <w:sz w:val="28"/>
          <w:szCs w:val="28"/>
          <w:u w:val="single"/>
        </w:rPr>
      </w:pPr>
      <w:r w:rsidRPr="000C66AD">
        <w:rPr>
          <w:rFonts w:ascii="Trebuchet MS" w:hAnsi="Trebuchet MS" w:cs="Arial"/>
          <w:sz w:val="28"/>
          <w:szCs w:val="28"/>
          <w:shd w:val="clear" w:color="auto" w:fill="F2F2F2"/>
        </w:rPr>
        <w:t xml:space="preserve">Assets passed on by will that favors HUF. </w:t>
      </w:r>
    </w:p>
    <w:p w14:paraId="29C776D6" w14:textId="77777777" w:rsidR="000C66AD" w:rsidRPr="000C66AD" w:rsidRDefault="000C66AD" w:rsidP="000C66AD">
      <w:pPr>
        <w:pStyle w:val="ListParagraph"/>
        <w:numPr>
          <w:ilvl w:val="0"/>
          <w:numId w:val="1"/>
        </w:numPr>
        <w:jc w:val="both"/>
        <w:rPr>
          <w:rFonts w:ascii="Trebuchet MS" w:hAnsi="Trebuchet MS"/>
          <w:b/>
          <w:bCs/>
          <w:sz w:val="28"/>
          <w:szCs w:val="28"/>
          <w:u w:val="single"/>
        </w:rPr>
      </w:pPr>
      <w:r w:rsidRPr="000C66AD">
        <w:rPr>
          <w:rFonts w:ascii="Trebuchet MS" w:hAnsi="Trebuchet MS" w:cs="Arial"/>
          <w:sz w:val="28"/>
          <w:szCs w:val="28"/>
          <w:shd w:val="clear" w:color="auto" w:fill="F2F2F2"/>
        </w:rPr>
        <w:t xml:space="preserve">Assets received on the partition of a larger HUF of which the coparcener was a member (like an HUF in which the coparcener’s father or grandfather was the Karta). </w:t>
      </w:r>
    </w:p>
    <w:p w14:paraId="016C03C9" w14:textId="77777777" w:rsidR="000C66AD" w:rsidRPr="000C66AD" w:rsidRDefault="000C66AD" w:rsidP="000C66AD">
      <w:pPr>
        <w:pStyle w:val="ListParagraph"/>
        <w:jc w:val="both"/>
        <w:rPr>
          <w:rFonts w:ascii="Trebuchet MS" w:hAnsi="Trebuchet MS"/>
          <w:b/>
          <w:bCs/>
          <w:sz w:val="28"/>
          <w:szCs w:val="28"/>
          <w:u w:val="single"/>
        </w:rPr>
      </w:pPr>
    </w:p>
    <w:p w14:paraId="6426AD1B" w14:textId="484E16D1" w:rsidR="000C66AD" w:rsidRPr="00FE09F9" w:rsidRDefault="00FE09F9" w:rsidP="000C66AD">
      <w:pPr>
        <w:pStyle w:val="ListParagraph"/>
        <w:numPr>
          <w:ilvl w:val="0"/>
          <w:numId w:val="1"/>
        </w:numPr>
        <w:jc w:val="both"/>
        <w:rPr>
          <w:rFonts w:ascii="Trebuchet MS" w:hAnsi="Trebuchet MS"/>
          <w:b/>
          <w:bCs/>
          <w:sz w:val="28"/>
          <w:szCs w:val="28"/>
          <w:u w:val="single"/>
        </w:rPr>
      </w:pPr>
      <w:r>
        <w:rPr>
          <w:rFonts w:ascii="Trebuchet MS" w:hAnsi="Trebuchet MS" w:cs="Arial"/>
          <w:sz w:val="28"/>
          <w:szCs w:val="28"/>
          <w:shd w:val="clear" w:color="auto" w:fill="F2F2F2"/>
        </w:rPr>
        <w:t>P</w:t>
      </w:r>
      <w:r w:rsidR="000C66AD" w:rsidRPr="000C66AD">
        <w:rPr>
          <w:rFonts w:ascii="Trebuchet MS" w:hAnsi="Trebuchet MS" w:cs="Arial"/>
          <w:sz w:val="28"/>
          <w:szCs w:val="28"/>
          <w:shd w:val="clear" w:color="auto" w:fill="F2F2F2"/>
        </w:rPr>
        <w:t>roperty acquired from the sale of joint family property</w:t>
      </w:r>
    </w:p>
    <w:p w14:paraId="2E76FDFA" w14:textId="77777777" w:rsidR="00FE09F9" w:rsidRPr="00FE09F9" w:rsidRDefault="00FE09F9" w:rsidP="00FE09F9">
      <w:pPr>
        <w:pStyle w:val="ListParagraph"/>
        <w:rPr>
          <w:rFonts w:ascii="Trebuchet MS" w:hAnsi="Trebuchet MS"/>
          <w:b/>
          <w:bCs/>
          <w:sz w:val="28"/>
          <w:szCs w:val="28"/>
          <w:u w:val="single"/>
        </w:rPr>
      </w:pPr>
    </w:p>
    <w:p w14:paraId="5D1CA1C6" w14:textId="3123AA9E" w:rsidR="00FE09F9" w:rsidRDefault="00FE09F9" w:rsidP="000C66AD">
      <w:pPr>
        <w:pStyle w:val="ListParagraph"/>
        <w:numPr>
          <w:ilvl w:val="0"/>
          <w:numId w:val="1"/>
        </w:numPr>
        <w:jc w:val="both"/>
        <w:rPr>
          <w:rFonts w:ascii="Trebuchet MS" w:hAnsi="Trebuchet MS"/>
          <w:sz w:val="28"/>
          <w:szCs w:val="28"/>
        </w:rPr>
      </w:pPr>
      <w:r w:rsidRPr="00FE09F9">
        <w:rPr>
          <w:rFonts w:ascii="Trebuchet MS" w:hAnsi="Trebuchet MS"/>
          <w:sz w:val="28"/>
          <w:szCs w:val="28"/>
        </w:rPr>
        <w:t xml:space="preserve">Members infusing capital or treating their Assets as joint hindu family property </w:t>
      </w:r>
    </w:p>
    <w:p w14:paraId="1F648A7F" w14:textId="77777777" w:rsidR="00465B5B" w:rsidRPr="00465B5B" w:rsidRDefault="00465B5B" w:rsidP="00465B5B">
      <w:pPr>
        <w:pStyle w:val="ListParagraph"/>
        <w:rPr>
          <w:rFonts w:ascii="Trebuchet MS" w:hAnsi="Trebuchet MS"/>
          <w:sz w:val="28"/>
          <w:szCs w:val="28"/>
        </w:rPr>
      </w:pPr>
    </w:p>
    <w:p w14:paraId="0D981B86" w14:textId="1213E881" w:rsidR="00465B5B" w:rsidRDefault="00465B5B" w:rsidP="00465B5B">
      <w:pPr>
        <w:pStyle w:val="ListParagraph"/>
        <w:numPr>
          <w:ilvl w:val="1"/>
          <w:numId w:val="1"/>
        </w:numPr>
        <w:jc w:val="both"/>
        <w:rPr>
          <w:rFonts w:ascii="Trebuchet MS" w:hAnsi="Trebuchet MS"/>
          <w:sz w:val="28"/>
          <w:szCs w:val="28"/>
        </w:rPr>
      </w:pPr>
      <w:r>
        <w:rPr>
          <w:rFonts w:ascii="Trebuchet MS" w:hAnsi="Trebuchet MS"/>
          <w:sz w:val="28"/>
          <w:szCs w:val="28"/>
        </w:rPr>
        <w:t>Whether Clubbing provisions u/s 64 would get invoked?</w:t>
      </w:r>
    </w:p>
    <w:p w14:paraId="3154BC9C" w14:textId="77777777" w:rsidR="00465B5B" w:rsidRDefault="00465B5B" w:rsidP="00465B5B">
      <w:pPr>
        <w:pStyle w:val="ListParagraph"/>
        <w:ind w:left="1440"/>
        <w:jc w:val="both"/>
        <w:rPr>
          <w:rFonts w:ascii="Trebuchet MS" w:hAnsi="Trebuchet MS"/>
          <w:sz w:val="28"/>
          <w:szCs w:val="28"/>
        </w:rPr>
      </w:pPr>
    </w:p>
    <w:p w14:paraId="62ACCA20" w14:textId="77777777" w:rsidR="00465B5B" w:rsidRDefault="00465B5B" w:rsidP="00465B5B">
      <w:pPr>
        <w:pStyle w:val="ListParagraph"/>
        <w:ind w:left="1440"/>
        <w:jc w:val="both"/>
        <w:rPr>
          <w:rFonts w:ascii="Trebuchet MS" w:hAnsi="Trebuchet MS"/>
          <w:sz w:val="28"/>
          <w:szCs w:val="28"/>
        </w:rPr>
      </w:pPr>
    </w:p>
    <w:p w14:paraId="0AD61583" w14:textId="77777777" w:rsidR="00465B5B" w:rsidRDefault="00465B5B" w:rsidP="00465B5B">
      <w:pPr>
        <w:pStyle w:val="ListParagraph"/>
        <w:numPr>
          <w:ilvl w:val="0"/>
          <w:numId w:val="1"/>
        </w:numPr>
        <w:jc w:val="both"/>
        <w:rPr>
          <w:rFonts w:ascii="Trebuchet MS" w:hAnsi="Trebuchet MS" w:cs="Arial"/>
          <w:sz w:val="28"/>
          <w:szCs w:val="28"/>
          <w:shd w:val="clear" w:color="auto" w:fill="F2F2F2"/>
        </w:rPr>
      </w:pPr>
      <w:r w:rsidRPr="00465B5B">
        <w:rPr>
          <w:rFonts w:ascii="Trebuchet MS" w:hAnsi="Trebuchet MS" w:cs="Arial"/>
          <w:b/>
          <w:bCs/>
          <w:sz w:val="28"/>
          <w:szCs w:val="28"/>
          <w:shd w:val="clear" w:color="auto" w:fill="F2F2F2"/>
        </w:rPr>
        <w:t>It is important here to note that capital infusion should be done taking into account the clubbing provisions under Section-64(2) of Income tax act,1961</w:t>
      </w:r>
      <w:r w:rsidRPr="00465B5B">
        <w:rPr>
          <w:rFonts w:ascii="Trebuchet MS" w:hAnsi="Trebuchet MS" w:cs="Arial"/>
          <w:sz w:val="28"/>
          <w:szCs w:val="28"/>
          <w:shd w:val="clear" w:color="auto" w:fill="F2F2F2"/>
        </w:rPr>
        <w:t xml:space="preserve">. </w:t>
      </w:r>
    </w:p>
    <w:p w14:paraId="2FBAFB7B" w14:textId="77777777" w:rsidR="000C66AD" w:rsidRDefault="000C66AD" w:rsidP="000C66AD">
      <w:pPr>
        <w:spacing w:line="300" w:lineRule="atLeast"/>
        <w:jc w:val="both"/>
        <w:rPr>
          <w:rFonts w:ascii="Trebuchet MS" w:eastAsia="Times New Roman" w:hAnsi="Trebuchet MS" w:cs="Times New Roman"/>
          <w:kern w:val="0"/>
          <w:sz w:val="28"/>
          <w:szCs w:val="28"/>
          <w:lang w:eastAsia="en-IN"/>
          <w14:ligatures w14:val="none"/>
        </w:rPr>
      </w:pPr>
    </w:p>
    <w:p w14:paraId="067B2020" w14:textId="77777777" w:rsidR="000C66AD" w:rsidRPr="000C66AD" w:rsidRDefault="000C66AD" w:rsidP="000C66AD">
      <w:pPr>
        <w:spacing w:line="300" w:lineRule="atLeast"/>
        <w:jc w:val="both"/>
        <w:rPr>
          <w:rFonts w:ascii="Trebuchet MS" w:hAnsi="Trebuchet MS" w:cs="Arial"/>
          <w:b/>
          <w:bCs/>
          <w:sz w:val="28"/>
          <w:szCs w:val="28"/>
          <w:u w:val="single"/>
        </w:rPr>
      </w:pPr>
      <w:r w:rsidRPr="000C66AD">
        <w:rPr>
          <w:rFonts w:ascii="Trebuchet MS" w:hAnsi="Trebuchet MS" w:cs="Arial"/>
          <w:b/>
          <w:bCs/>
          <w:sz w:val="28"/>
          <w:szCs w:val="28"/>
          <w:u w:val="single"/>
        </w:rPr>
        <w:t>Clubbing of income</w:t>
      </w:r>
    </w:p>
    <w:p w14:paraId="55303415" w14:textId="0952646A" w:rsidR="00465B5B" w:rsidRDefault="00465B5B" w:rsidP="000C66AD">
      <w:pPr>
        <w:pStyle w:val="tx"/>
        <w:spacing w:before="0" w:beforeAutospacing="0" w:after="80" w:afterAutospacing="0"/>
        <w:jc w:val="both"/>
        <w:rPr>
          <w:sz w:val="28"/>
          <w:szCs w:val="28"/>
        </w:rPr>
      </w:pPr>
      <w:r>
        <w:rPr>
          <w:sz w:val="28"/>
          <w:szCs w:val="28"/>
        </w:rPr>
        <w:t>Sec 64</w:t>
      </w:r>
    </w:p>
    <w:p w14:paraId="755C6D06" w14:textId="73DBEBB3" w:rsidR="00465B5B" w:rsidRDefault="00465B5B" w:rsidP="000C66AD">
      <w:pPr>
        <w:pStyle w:val="tx"/>
        <w:spacing w:before="0" w:beforeAutospacing="0" w:after="80" w:afterAutospacing="0"/>
        <w:jc w:val="both"/>
        <w:rPr>
          <w:sz w:val="28"/>
          <w:szCs w:val="28"/>
        </w:rPr>
      </w:pPr>
      <w:r>
        <w:rPr>
          <w:sz w:val="28"/>
          <w:szCs w:val="28"/>
        </w:rPr>
        <w:t>(1)..</w:t>
      </w:r>
    </w:p>
    <w:p w14:paraId="3C8C1224" w14:textId="19D32B48" w:rsidR="000C66AD" w:rsidRPr="000C66AD" w:rsidRDefault="000C66AD" w:rsidP="000C66AD">
      <w:pPr>
        <w:pStyle w:val="tx"/>
        <w:spacing w:before="0" w:beforeAutospacing="0" w:after="80" w:afterAutospacing="0"/>
        <w:jc w:val="both"/>
        <w:rPr>
          <w:sz w:val="28"/>
          <w:szCs w:val="28"/>
        </w:rPr>
      </w:pPr>
      <w:r w:rsidRPr="000C66AD">
        <w:rPr>
          <w:sz w:val="28"/>
          <w:szCs w:val="28"/>
        </w:rPr>
        <w:t>(2) Where, i</w:t>
      </w:r>
      <w:r w:rsidRPr="00465B5B">
        <w:rPr>
          <w:b/>
          <w:bCs/>
          <w:sz w:val="28"/>
          <w:szCs w:val="28"/>
          <w:u w:val="single"/>
        </w:rPr>
        <w:t>n the case of an individual being a member of a Hindu undivided family, any property having been the separate property of the individual has, at any time after the 31st day of December, 1969, been converted</w:t>
      </w:r>
      <w:r w:rsidRPr="000C66AD">
        <w:rPr>
          <w:sz w:val="28"/>
          <w:szCs w:val="28"/>
        </w:rPr>
        <w:t xml:space="preserve"> by the individual into property belonging to the family through the act of impressing such separate property with the character of property belonging to the family or </w:t>
      </w:r>
      <w:r w:rsidRPr="000C66AD">
        <w:rPr>
          <w:sz w:val="28"/>
          <w:szCs w:val="28"/>
        </w:rPr>
        <w:lastRenderedPageBreak/>
        <w:t xml:space="preserve">throwing it into the common stock of the family or been transferred by the individual, directly or indirectly, to the family </w:t>
      </w:r>
      <w:r w:rsidRPr="00465B5B">
        <w:rPr>
          <w:b/>
          <w:bCs/>
          <w:sz w:val="28"/>
          <w:szCs w:val="28"/>
          <w:u w:val="single"/>
        </w:rPr>
        <w:t>otherwise than for adequate consideration</w:t>
      </w:r>
      <w:r w:rsidRPr="000C66AD">
        <w:rPr>
          <w:sz w:val="28"/>
          <w:szCs w:val="28"/>
        </w:rPr>
        <w:t xml:space="preserve"> (the property so converted or transferred being hereinafter referred to as the converted property), then, notwithstanding anything contained in any other provision of this Act or in any other law for the time being in force, for the purpose of computation of the total income of the individual under this Act for any assessment year commencing on or after the 1st day of April, 1971,—</w:t>
      </w:r>
    </w:p>
    <w:p w14:paraId="64A0B07D" w14:textId="77777777" w:rsidR="000C66AD" w:rsidRPr="000C66AD" w:rsidRDefault="000C66AD" w:rsidP="000C66AD">
      <w:pPr>
        <w:pStyle w:val="indent1"/>
        <w:spacing w:before="0" w:beforeAutospacing="0" w:after="80" w:afterAutospacing="0"/>
        <w:ind w:left="567" w:hanging="397"/>
        <w:jc w:val="both"/>
        <w:rPr>
          <w:sz w:val="28"/>
          <w:szCs w:val="28"/>
        </w:rPr>
      </w:pPr>
      <w:r w:rsidRPr="000C66AD">
        <w:rPr>
          <w:sz w:val="28"/>
          <w:szCs w:val="28"/>
        </w:rPr>
        <w:t> (</w:t>
      </w:r>
      <w:r w:rsidRPr="000C66AD">
        <w:rPr>
          <w:i/>
          <w:iCs/>
          <w:sz w:val="28"/>
          <w:szCs w:val="28"/>
        </w:rPr>
        <w:t>a</w:t>
      </w:r>
      <w:r w:rsidRPr="000C66AD">
        <w:rPr>
          <w:sz w:val="28"/>
          <w:szCs w:val="28"/>
        </w:rPr>
        <w:t>) the individual shall be deemed to have transferred the converted property, through the family, to the members of the family for being held by them jointly;</w:t>
      </w:r>
    </w:p>
    <w:p w14:paraId="039F9B35" w14:textId="77777777" w:rsidR="000C66AD" w:rsidRPr="000C66AD" w:rsidRDefault="000C66AD" w:rsidP="000C66AD">
      <w:pPr>
        <w:pStyle w:val="indent1"/>
        <w:spacing w:before="0" w:beforeAutospacing="0" w:after="80" w:afterAutospacing="0"/>
        <w:ind w:left="567" w:hanging="397"/>
        <w:jc w:val="both"/>
        <w:rPr>
          <w:sz w:val="28"/>
          <w:szCs w:val="28"/>
        </w:rPr>
      </w:pPr>
      <w:r w:rsidRPr="000C66AD">
        <w:rPr>
          <w:sz w:val="28"/>
          <w:szCs w:val="28"/>
        </w:rPr>
        <w:t> (</w:t>
      </w:r>
      <w:r w:rsidRPr="000C66AD">
        <w:rPr>
          <w:i/>
          <w:iCs/>
          <w:sz w:val="28"/>
          <w:szCs w:val="28"/>
        </w:rPr>
        <w:t>b</w:t>
      </w:r>
      <w:r w:rsidRPr="000C66AD">
        <w:rPr>
          <w:sz w:val="28"/>
          <w:szCs w:val="28"/>
        </w:rPr>
        <w:t xml:space="preserve">) </w:t>
      </w:r>
      <w:r w:rsidRPr="00465B5B">
        <w:rPr>
          <w:b/>
          <w:bCs/>
          <w:sz w:val="28"/>
          <w:szCs w:val="28"/>
          <w:u w:val="single"/>
        </w:rPr>
        <w:t>the income derived from the converted property or any part thereof shall be deemed to arise to the individual and not to the family</w:t>
      </w:r>
      <w:r w:rsidRPr="000C66AD">
        <w:rPr>
          <w:sz w:val="28"/>
          <w:szCs w:val="28"/>
        </w:rPr>
        <w:t>;</w:t>
      </w:r>
    </w:p>
    <w:p w14:paraId="1D11F408" w14:textId="77777777" w:rsidR="000C66AD" w:rsidRPr="000C66AD" w:rsidRDefault="000C66AD" w:rsidP="000C66AD">
      <w:pPr>
        <w:pStyle w:val="indent1"/>
        <w:spacing w:before="0" w:beforeAutospacing="0" w:after="80" w:afterAutospacing="0"/>
        <w:ind w:left="567" w:hanging="397"/>
        <w:jc w:val="both"/>
        <w:rPr>
          <w:sz w:val="28"/>
          <w:szCs w:val="28"/>
        </w:rPr>
      </w:pPr>
      <w:r w:rsidRPr="000C66AD">
        <w:rPr>
          <w:sz w:val="28"/>
          <w:szCs w:val="28"/>
        </w:rPr>
        <w:t> (</w:t>
      </w:r>
      <w:r w:rsidRPr="000C66AD">
        <w:rPr>
          <w:i/>
          <w:iCs/>
          <w:sz w:val="28"/>
          <w:szCs w:val="28"/>
        </w:rPr>
        <w:t>c</w:t>
      </w:r>
      <w:r w:rsidRPr="000C66AD">
        <w:rPr>
          <w:sz w:val="28"/>
          <w:szCs w:val="28"/>
        </w:rPr>
        <w:t>) where the converted property has been the subject-matter of a partition (whether partial or total) amongst the members of the family, the income derived from such converted property as is received by the spouse on partition shall be deemed to arise to the spouse from assets transferred indirectly by the individual to the spouse and the provisions of sub-section (1) shall, so far as may be, apply accordingly:</w:t>
      </w:r>
    </w:p>
    <w:p w14:paraId="54CB9E16" w14:textId="77777777" w:rsidR="000C66AD" w:rsidRPr="000C66AD" w:rsidRDefault="000C66AD" w:rsidP="000C66AD">
      <w:pPr>
        <w:pStyle w:val="tx"/>
        <w:spacing w:before="0" w:beforeAutospacing="0" w:after="80" w:afterAutospacing="0"/>
        <w:jc w:val="both"/>
        <w:rPr>
          <w:sz w:val="28"/>
          <w:szCs w:val="28"/>
        </w:rPr>
      </w:pPr>
      <w:r w:rsidRPr="000C66AD">
        <w:rPr>
          <w:b/>
          <w:bCs/>
          <w:sz w:val="28"/>
          <w:szCs w:val="28"/>
        </w:rPr>
        <w:t>Provided</w:t>
      </w:r>
      <w:r w:rsidRPr="000C66AD">
        <w:rPr>
          <w:sz w:val="28"/>
          <w:szCs w:val="28"/>
        </w:rPr>
        <w:t> that the income referred to in clause (</w:t>
      </w:r>
      <w:r w:rsidRPr="000C66AD">
        <w:rPr>
          <w:i/>
          <w:iCs/>
          <w:sz w:val="28"/>
          <w:szCs w:val="28"/>
        </w:rPr>
        <w:t>b</w:t>
      </w:r>
      <w:r w:rsidRPr="000C66AD">
        <w:rPr>
          <w:sz w:val="28"/>
          <w:szCs w:val="28"/>
        </w:rPr>
        <w:t>) or clause (</w:t>
      </w:r>
      <w:r w:rsidRPr="000C66AD">
        <w:rPr>
          <w:i/>
          <w:iCs/>
          <w:sz w:val="28"/>
          <w:szCs w:val="28"/>
        </w:rPr>
        <w:t>c</w:t>
      </w:r>
      <w:r w:rsidRPr="000C66AD">
        <w:rPr>
          <w:sz w:val="28"/>
          <w:szCs w:val="28"/>
        </w:rPr>
        <w:t>) shall, on being included in the total income of the individual, be excluded from the total income of the family or, as the case may be, the spouse of the individual.</w:t>
      </w:r>
    </w:p>
    <w:p w14:paraId="227CA143" w14:textId="77777777" w:rsidR="000C66AD" w:rsidRPr="000C66AD" w:rsidRDefault="000C66AD" w:rsidP="000C66AD">
      <w:pPr>
        <w:pStyle w:val="tx"/>
        <w:spacing w:before="0" w:beforeAutospacing="0" w:after="80" w:afterAutospacing="0"/>
        <w:jc w:val="both"/>
        <w:rPr>
          <w:sz w:val="28"/>
          <w:szCs w:val="28"/>
        </w:rPr>
      </w:pPr>
      <w:r w:rsidRPr="000C66AD">
        <w:rPr>
          <w:i/>
          <w:iCs/>
          <w:sz w:val="28"/>
          <w:szCs w:val="28"/>
        </w:rPr>
        <w:t>Explanation 1</w:t>
      </w:r>
      <w:r w:rsidRPr="000C66AD">
        <w:rPr>
          <w:sz w:val="28"/>
          <w:szCs w:val="28"/>
        </w:rPr>
        <w:t>.—For the purposes of sub-section (2),—</w:t>
      </w:r>
    </w:p>
    <w:p w14:paraId="22435711" w14:textId="77777777" w:rsidR="000C66AD" w:rsidRPr="000C66AD" w:rsidRDefault="000C66AD" w:rsidP="000C66AD">
      <w:pPr>
        <w:pStyle w:val="tx"/>
        <w:spacing w:before="0" w:beforeAutospacing="0" w:after="80" w:afterAutospacing="0"/>
        <w:jc w:val="both"/>
        <w:rPr>
          <w:sz w:val="28"/>
          <w:szCs w:val="28"/>
        </w:rPr>
      </w:pPr>
      <w:r w:rsidRPr="000C66AD">
        <w:rPr>
          <w:sz w:val="28"/>
          <w:szCs w:val="28"/>
        </w:rPr>
        <w:t>"property" includes any interest in property, movable or immovable, the proceeds of sale thereof and any money or investment for the time being representing the proceeds of sale thereof and where the property is converted into any other property by any method, such other property.</w:t>
      </w:r>
    </w:p>
    <w:p w14:paraId="0C6FE4D8" w14:textId="77777777" w:rsidR="000C66AD" w:rsidRPr="000C66AD" w:rsidRDefault="000C66AD" w:rsidP="000C66AD">
      <w:pPr>
        <w:pStyle w:val="tx"/>
        <w:spacing w:before="0" w:beforeAutospacing="0" w:after="80" w:afterAutospacing="0"/>
        <w:jc w:val="both"/>
        <w:rPr>
          <w:sz w:val="28"/>
          <w:szCs w:val="28"/>
        </w:rPr>
      </w:pPr>
      <w:r w:rsidRPr="000C66AD">
        <w:rPr>
          <w:i/>
          <w:iCs/>
          <w:sz w:val="28"/>
          <w:szCs w:val="28"/>
        </w:rPr>
        <w:t>Explanation 2.</w:t>
      </w:r>
      <w:r w:rsidRPr="000C66AD">
        <w:rPr>
          <w:sz w:val="28"/>
          <w:szCs w:val="28"/>
        </w:rPr>
        <w:t>—For the purposes of this section, "income" includes loss.</w:t>
      </w:r>
    </w:p>
    <w:p w14:paraId="56012F29" w14:textId="77777777" w:rsidR="000C66AD" w:rsidRDefault="000C66AD" w:rsidP="000C66AD">
      <w:pPr>
        <w:spacing w:line="300" w:lineRule="atLeast"/>
        <w:jc w:val="both"/>
        <w:rPr>
          <w:rFonts w:ascii="Trebuchet MS" w:eastAsia="Times New Roman" w:hAnsi="Trebuchet MS" w:cs="Times New Roman"/>
          <w:kern w:val="0"/>
          <w:sz w:val="28"/>
          <w:szCs w:val="28"/>
          <w:lang w:eastAsia="en-IN"/>
          <w14:ligatures w14:val="none"/>
        </w:rPr>
      </w:pPr>
    </w:p>
    <w:p w14:paraId="3DBAEFCA" w14:textId="77777777" w:rsidR="00465B5B" w:rsidRPr="00465B5B" w:rsidRDefault="00465B5B" w:rsidP="00465B5B">
      <w:pPr>
        <w:jc w:val="both"/>
        <w:rPr>
          <w:rFonts w:ascii="Trebuchet MS" w:hAnsi="Trebuchet MS" w:cs="Arial"/>
          <w:sz w:val="28"/>
          <w:szCs w:val="28"/>
          <w:shd w:val="clear" w:color="auto" w:fill="F2F2F2"/>
        </w:rPr>
      </w:pPr>
      <w:r w:rsidRPr="00465B5B">
        <w:rPr>
          <w:rFonts w:ascii="Trebuchet MS" w:hAnsi="Trebuchet MS" w:cs="Arial"/>
          <w:sz w:val="28"/>
          <w:szCs w:val="28"/>
          <w:shd w:val="clear" w:color="auto" w:fill="F2F2F2"/>
        </w:rPr>
        <w:t xml:space="preserve">This clubbing can be surpassed if the amount transfer in HUF account is invested by Karta in tax free scheme (E.g., tax free bonds). Income earned from tax free bonds being tax free shall not be income and clubbed in hands of transferor u/s 64(2) The tax-free income can then be re-invested to earn even taxable income. It is important to note that clubbing provision is attracted on income and shall be clubbed in hands of transferor but Income on income is out of Clubbing Provision and shall be taxable in hands of HUF and not transferor. </w:t>
      </w:r>
    </w:p>
    <w:p w14:paraId="478DEAA7" w14:textId="77777777" w:rsidR="00465B5B" w:rsidRDefault="00465B5B" w:rsidP="00465B5B">
      <w:pPr>
        <w:pStyle w:val="ListParagraph"/>
        <w:jc w:val="both"/>
        <w:rPr>
          <w:rFonts w:ascii="Trebuchet MS" w:hAnsi="Trebuchet MS" w:cs="Arial"/>
          <w:sz w:val="28"/>
          <w:szCs w:val="28"/>
          <w:shd w:val="clear" w:color="auto" w:fill="F2F2F2"/>
        </w:rPr>
      </w:pPr>
    </w:p>
    <w:p w14:paraId="362BC99F" w14:textId="77777777" w:rsidR="00B02FA1" w:rsidRDefault="00B02FA1" w:rsidP="00465B5B">
      <w:pPr>
        <w:pStyle w:val="ListParagraph"/>
        <w:jc w:val="both"/>
        <w:rPr>
          <w:rFonts w:ascii="Trebuchet MS" w:hAnsi="Trebuchet MS" w:cs="Arial"/>
          <w:sz w:val="28"/>
          <w:szCs w:val="28"/>
          <w:shd w:val="clear" w:color="auto" w:fill="F2F2F2"/>
        </w:rPr>
      </w:pPr>
    </w:p>
    <w:p w14:paraId="594C1245" w14:textId="77777777" w:rsidR="00465B5B" w:rsidRPr="000C66AD" w:rsidRDefault="00465B5B" w:rsidP="00465B5B">
      <w:pPr>
        <w:rPr>
          <w:rFonts w:ascii="Trebuchet MS" w:hAnsi="Trebuchet MS"/>
          <w:b/>
          <w:bCs/>
          <w:sz w:val="28"/>
          <w:szCs w:val="28"/>
          <w:u w:val="single"/>
        </w:rPr>
      </w:pPr>
      <w:r w:rsidRPr="000C66AD">
        <w:rPr>
          <w:rFonts w:ascii="Trebuchet MS" w:hAnsi="Trebuchet MS"/>
          <w:b/>
          <w:bCs/>
          <w:sz w:val="28"/>
          <w:szCs w:val="28"/>
          <w:u w:val="single"/>
        </w:rPr>
        <w:lastRenderedPageBreak/>
        <w:t>Taxation on Partition:</w:t>
      </w:r>
    </w:p>
    <w:p w14:paraId="5665B6A2" w14:textId="2DE6222F" w:rsidR="00465B5B" w:rsidRDefault="00465B5B" w:rsidP="00465B5B">
      <w:pPr>
        <w:pStyle w:val="ListParagraph"/>
        <w:numPr>
          <w:ilvl w:val="0"/>
          <w:numId w:val="1"/>
        </w:numPr>
        <w:rPr>
          <w:rFonts w:ascii="Trebuchet MS" w:hAnsi="Trebuchet MS"/>
          <w:sz w:val="28"/>
          <w:szCs w:val="28"/>
        </w:rPr>
      </w:pPr>
      <w:r>
        <w:rPr>
          <w:rFonts w:ascii="Trebuchet MS" w:hAnsi="Trebuchet MS"/>
          <w:sz w:val="28"/>
          <w:szCs w:val="28"/>
        </w:rPr>
        <w:t xml:space="preserve">Division of Joint Hindu Family </w:t>
      </w:r>
    </w:p>
    <w:p w14:paraId="0D33855B" w14:textId="77777777" w:rsidR="005A268B" w:rsidRDefault="005A268B" w:rsidP="005A268B">
      <w:pPr>
        <w:pStyle w:val="ListParagraph"/>
        <w:rPr>
          <w:rFonts w:ascii="Trebuchet MS" w:hAnsi="Trebuchet MS"/>
          <w:sz w:val="28"/>
          <w:szCs w:val="28"/>
        </w:rPr>
      </w:pPr>
    </w:p>
    <w:p w14:paraId="0DBE29DD" w14:textId="77777777" w:rsidR="005A268B" w:rsidRDefault="00465B5B" w:rsidP="005A268B">
      <w:pPr>
        <w:pStyle w:val="ListParagraph"/>
        <w:numPr>
          <w:ilvl w:val="0"/>
          <w:numId w:val="1"/>
        </w:numPr>
        <w:rPr>
          <w:rFonts w:ascii="Trebuchet MS" w:hAnsi="Trebuchet MS"/>
          <w:sz w:val="28"/>
          <w:szCs w:val="28"/>
        </w:rPr>
      </w:pPr>
      <w:r>
        <w:rPr>
          <w:rFonts w:ascii="Trebuchet MS" w:hAnsi="Trebuchet MS"/>
          <w:sz w:val="28"/>
          <w:szCs w:val="28"/>
        </w:rPr>
        <w:t xml:space="preserve">What kind of partitions are allowed in Income-tax Act? </w:t>
      </w:r>
    </w:p>
    <w:p w14:paraId="171C4F54" w14:textId="5334055A" w:rsidR="00465B5B" w:rsidRPr="005A268B" w:rsidRDefault="005A268B" w:rsidP="005A268B">
      <w:pPr>
        <w:pStyle w:val="ListParagraph"/>
        <w:numPr>
          <w:ilvl w:val="1"/>
          <w:numId w:val="1"/>
        </w:numPr>
        <w:jc w:val="both"/>
        <w:rPr>
          <w:rFonts w:ascii="Trebuchet MS" w:hAnsi="Trebuchet MS"/>
          <w:sz w:val="28"/>
          <w:szCs w:val="28"/>
        </w:rPr>
      </w:pPr>
      <w:r w:rsidRPr="005A268B">
        <w:rPr>
          <w:rFonts w:ascii="Trebuchet MS" w:eastAsia="Times New Roman" w:hAnsi="Trebuchet MS" w:cs="Times New Roman"/>
          <w:kern w:val="0"/>
          <w:sz w:val="28"/>
          <w:szCs w:val="28"/>
          <w:lang w:eastAsia="en-IN"/>
          <w14:ligatures w14:val="none"/>
        </w:rPr>
        <w:t>As per</w:t>
      </w:r>
      <w:r w:rsidR="00465B5B" w:rsidRPr="005A268B">
        <w:rPr>
          <w:rFonts w:ascii="Trebuchet MS" w:eastAsia="Times New Roman" w:hAnsi="Trebuchet MS" w:cs="Times New Roman"/>
          <w:kern w:val="0"/>
          <w:sz w:val="28"/>
          <w:szCs w:val="28"/>
          <w:lang w:eastAsia="en-IN"/>
          <w14:ligatures w14:val="none"/>
        </w:rPr>
        <w:t xml:space="preserve"> provisions of Section </w:t>
      </w:r>
      <w:hyperlink r:id="rId9" w:history="1">
        <w:r w:rsidR="00465B5B" w:rsidRPr="005A268B">
          <w:rPr>
            <w:rFonts w:ascii="Trebuchet MS" w:eastAsia="Times New Roman" w:hAnsi="Trebuchet MS" w:cs="Times New Roman"/>
            <w:kern w:val="0"/>
            <w:sz w:val="28"/>
            <w:szCs w:val="28"/>
            <w:u w:val="single"/>
            <w:lang w:eastAsia="en-IN"/>
            <w14:ligatures w14:val="none"/>
          </w:rPr>
          <w:t>171(9)</w:t>
        </w:r>
      </w:hyperlink>
      <w:r w:rsidR="00465B5B" w:rsidRPr="005A268B">
        <w:rPr>
          <w:rFonts w:ascii="Trebuchet MS" w:eastAsia="Times New Roman" w:hAnsi="Trebuchet MS" w:cs="Times New Roman"/>
          <w:kern w:val="0"/>
          <w:sz w:val="28"/>
          <w:szCs w:val="28"/>
          <w:lang w:eastAsia="en-IN"/>
          <w14:ligatures w14:val="none"/>
        </w:rPr>
        <w:t xml:space="preserve"> of the Act were introduced in the </w:t>
      </w:r>
      <w:r w:rsidR="00465B5B" w:rsidRPr="005A268B">
        <w:rPr>
          <w:rFonts w:ascii="Trebuchet MS" w:eastAsia="Times New Roman" w:hAnsi="Trebuchet MS" w:cs="Times New Roman"/>
          <w:b/>
          <w:bCs/>
          <w:kern w:val="0"/>
          <w:sz w:val="28"/>
          <w:szCs w:val="28"/>
          <w:lang w:eastAsia="en-IN"/>
          <w14:ligatures w14:val="none"/>
        </w:rPr>
        <w:t>Act by the Finance (No.2) Act 1980 with effect from 01-4-1980 whereby partial partition after 31</w:t>
      </w:r>
      <w:r w:rsidR="00465B5B" w:rsidRPr="005A268B">
        <w:rPr>
          <w:rFonts w:ascii="Trebuchet MS" w:eastAsia="Times New Roman" w:hAnsi="Trebuchet MS" w:cs="Times New Roman"/>
          <w:b/>
          <w:bCs/>
          <w:kern w:val="0"/>
          <w:sz w:val="28"/>
          <w:szCs w:val="28"/>
          <w:vertAlign w:val="superscript"/>
          <w:lang w:eastAsia="en-IN"/>
          <w14:ligatures w14:val="none"/>
        </w:rPr>
        <w:t>st</w:t>
      </w:r>
      <w:r w:rsidR="00465B5B" w:rsidRPr="005A268B">
        <w:rPr>
          <w:rFonts w:ascii="Trebuchet MS" w:eastAsia="Times New Roman" w:hAnsi="Trebuchet MS" w:cs="Times New Roman"/>
          <w:b/>
          <w:bCs/>
          <w:kern w:val="0"/>
          <w:sz w:val="28"/>
          <w:szCs w:val="28"/>
          <w:lang w:eastAsia="en-IN"/>
          <w14:ligatures w14:val="none"/>
        </w:rPr>
        <w:t> December, 1978</w:t>
      </w:r>
      <w:r w:rsidR="00465B5B" w:rsidRPr="005A268B">
        <w:rPr>
          <w:rFonts w:ascii="Trebuchet MS" w:eastAsia="Times New Roman" w:hAnsi="Trebuchet MS" w:cs="Times New Roman"/>
          <w:kern w:val="0"/>
          <w:sz w:val="28"/>
          <w:szCs w:val="28"/>
          <w:lang w:eastAsia="en-IN"/>
          <w14:ligatures w14:val="none"/>
        </w:rPr>
        <w:t xml:space="preserve"> is not recognised for income-tax purposes, in the sense that as per provisions of section 171(9)(b) of the Act " </w:t>
      </w:r>
      <w:r w:rsidR="00465B5B" w:rsidRPr="005A268B">
        <w:rPr>
          <w:rFonts w:ascii="Trebuchet MS" w:eastAsia="Times New Roman" w:hAnsi="Trebuchet MS" w:cs="Times New Roman"/>
          <w:b/>
          <w:bCs/>
          <w:kern w:val="0"/>
          <w:sz w:val="28"/>
          <w:szCs w:val="28"/>
          <w:lang w:eastAsia="en-IN"/>
          <w14:ligatures w14:val="none"/>
        </w:rPr>
        <w:t>such </w:t>
      </w:r>
      <w:r w:rsidR="00465B5B" w:rsidRPr="005A268B">
        <w:rPr>
          <w:rFonts w:ascii="Trebuchet MS" w:eastAsia="Times New Roman" w:hAnsi="Trebuchet MS" w:cs="Times New Roman"/>
          <w:b/>
          <w:bCs/>
          <w:kern w:val="0"/>
          <w:sz w:val="28"/>
          <w:szCs w:val="28"/>
          <w:shd w:val="clear" w:color="auto" w:fill="FFFF00"/>
          <w:lang w:eastAsia="en-IN"/>
          <w14:ligatures w14:val="none"/>
        </w:rPr>
        <w:t>family</w:t>
      </w:r>
      <w:r w:rsidR="00465B5B" w:rsidRPr="005A268B">
        <w:rPr>
          <w:rFonts w:ascii="Trebuchet MS" w:eastAsia="Times New Roman" w:hAnsi="Trebuchet MS" w:cs="Times New Roman"/>
          <w:b/>
          <w:bCs/>
          <w:kern w:val="0"/>
          <w:sz w:val="28"/>
          <w:szCs w:val="28"/>
          <w:lang w:eastAsia="en-IN"/>
          <w14:ligatures w14:val="none"/>
        </w:rPr>
        <w:t xml:space="preserve"> where a partial partition took place shall continue to be liable to be assessed under the Act as if no partial partition had taken place".- </w:t>
      </w:r>
    </w:p>
    <w:p w14:paraId="341C0143" w14:textId="77777777" w:rsidR="00465B5B" w:rsidRPr="000C66AD" w:rsidRDefault="00465B5B" w:rsidP="005A268B">
      <w:pPr>
        <w:pStyle w:val="ListParagraph"/>
        <w:spacing w:after="220" w:line="300" w:lineRule="atLeast"/>
        <w:jc w:val="both"/>
        <w:rPr>
          <w:rFonts w:ascii="Trebuchet MS" w:eastAsia="Times New Roman" w:hAnsi="Trebuchet MS" w:cs="Times New Roman"/>
          <w:b/>
          <w:bCs/>
          <w:kern w:val="0"/>
          <w:sz w:val="28"/>
          <w:szCs w:val="28"/>
          <w:lang w:eastAsia="en-IN"/>
          <w14:ligatures w14:val="none"/>
        </w:rPr>
      </w:pPr>
    </w:p>
    <w:p w14:paraId="31694693" w14:textId="77777777" w:rsidR="00465B5B" w:rsidRPr="000C66AD" w:rsidRDefault="00465B5B" w:rsidP="005A268B">
      <w:pPr>
        <w:pStyle w:val="ListParagraph"/>
        <w:numPr>
          <w:ilvl w:val="1"/>
          <w:numId w:val="1"/>
        </w:numPr>
        <w:jc w:val="both"/>
        <w:rPr>
          <w:rFonts w:ascii="Trebuchet MS" w:eastAsia="Times New Roman" w:hAnsi="Trebuchet MS" w:cs="Times New Roman"/>
          <w:b/>
          <w:bCs/>
          <w:kern w:val="0"/>
          <w:sz w:val="28"/>
          <w:szCs w:val="28"/>
          <w:lang w:eastAsia="en-IN"/>
          <w14:ligatures w14:val="none"/>
        </w:rPr>
      </w:pPr>
      <w:r w:rsidRPr="000C66AD">
        <w:rPr>
          <w:rFonts w:ascii="Trebuchet MS" w:eastAsia="Times New Roman" w:hAnsi="Trebuchet MS" w:cs="Times New Roman"/>
          <w:b/>
          <w:bCs/>
          <w:kern w:val="0"/>
          <w:sz w:val="28"/>
          <w:szCs w:val="28"/>
          <w:lang w:eastAsia="en-IN"/>
          <w14:ligatures w14:val="none"/>
        </w:rPr>
        <w:t>In such case, the family and members will be jointly and severally liable to the tax, penalty interest of fine. Members will be liable in their respective share.</w:t>
      </w:r>
    </w:p>
    <w:p w14:paraId="2EC54A13" w14:textId="77777777" w:rsidR="00465B5B" w:rsidRPr="000C66AD" w:rsidRDefault="00465B5B" w:rsidP="00465B5B">
      <w:pPr>
        <w:pStyle w:val="ListParagraph"/>
        <w:spacing w:after="220" w:line="300" w:lineRule="atLeast"/>
        <w:jc w:val="both"/>
        <w:rPr>
          <w:rFonts w:ascii="Trebuchet MS" w:eastAsia="Times New Roman" w:hAnsi="Trebuchet MS" w:cs="Times New Roman"/>
          <w:kern w:val="0"/>
          <w:sz w:val="28"/>
          <w:szCs w:val="28"/>
          <w:lang w:eastAsia="en-IN"/>
          <w14:ligatures w14:val="none"/>
        </w:rPr>
      </w:pPr>
    </w:p>
    <w:p w14:paraId="2498BEA8" w14:textId="77777777" w:rsidR="005A268B" w:rsidRDefault="00465B5B" w:rsidP="00465B5B">
      <w:pPr>
        <w:pStyle w:val="ListParagraph"/>
        <w:numPr>
          <w:ilvl w:val="0"/>
          <w:numId w:val="1"/>
        </w:numPr>
        <w:spacing w:after="22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Circular no.281 dated 22</w:t>
      </w:r>
      <w:r w:rsidRPr="000C66AD">
        <w:rPr>
          <w:rFonts w:ascii="Trebuchet MS" w:eastAsia="Times New Roman" w:hAnsi="Trebuchet MS" w:cs="Times New Roman"/>
          <w:kern w:val="0"/>
          <w:sz w:val="28"/>
          <w:szCs w:val="28"/>
          <w:vertAlign w:val="superscript"/>
          <w:lang w:eastAsia="en-IN"/>
          <w14:ligatures w14:val="none"/>
        </w:rPr>
        <w:t>nd</w:t>
      </w:r>
      <w:r w:rsidRPr="000C66AD">
        <w:rPr>
          <w:rFonts w:ascii="Trebuchet MS" w:eastAsia="Times New Roman" w:hAnsi="Trebuchet MS" w:cs="Times New Roman"/>
          <w:kern w:val="0"/>
          <w:sz w:val="28"/>
          <w:szCs w:val="28"/>
          <w:lang w:eastAsia="en-IN"/>
          <w14:ligatures w14:val="none"/>
        </w:rPr>
        <w:t xml:space="preserve"> September,1980 vide para no.31.3 explained the purpose of insertion of section 171(9) of the Act in the following words: </w:t>
      </w:r>
    </w:p>
    <w:p w14:paraId="5BC2BEF6" w14:textId="77777777" w:rsidR="005A268B" w:rsidRDefault="00465B5B" w:rsidP="005A268B">
      <w:pPr>
        <w:pStyle w:val="ListParagraph"/>
        <w:spacing w:after="220" w:line="300" w:lineRule="atLeast"/>
        <w:jc w:val="both"/>
        <w:rPr>
          <w:rFonts w:ascii="Times New Roman" w:eastAsia="Times New Roman" w:hAnsi="Times New Roman" w:cs="Times New Roman"/>
          <w:i/>
          <w:iCs/>
          <w:kern w:val="0"/>
          <w:sz w:val="28"/>
          <w:szCs w:val="28"/>
          <w:lang w:eastAsia="en-IN"/>
          <w14:ligatures w14:val="none"/>
        </w:rPr>
      </w:pPr>
      <w:r w:rsidRPr="005A268B">
        <w:rPr>
          <w:rFonts w:ascii="Times New Roman" w:eastAsia="Times New Roman" w:hAnsi="Times New Roman" w:cs="Times New Roman"/>
          <w:i/>
          <w:iCs/>
          <w:kern w:val="0"/>
          <w:sz w:val="28"/>
          <w:szCs w:val="28"/>
          <w:lang w:eastAsia="en-IN"/>
          <w14:ligatures w14:val="none"/>
        </w:rPr>
        <w:t xml:space="preserve">"31.3 With a view to </w:t>
      </w:r>
      <w:r w:rsidRPr="005A268B">
        <w:rPr>
          <w:rFonts w:ascii="Times New Roman" w:eastAsia="Times New Roman" w:hAnsi="Times New Roman" w:cs="Times New Roman"/>
          <w:b/>
          <w:bCs/>
          <w:i/>
          <w:iCs/>
          <w:kern w:val="0"/>
          <w:sz w:val="28"/>
          <w:szCs w:val="28"/>
          <w:lang w:eastAsia="en-IN"/>
          <w14:ligatures w14:val="none"/>
        </w:rPr>
        <w:t>curbing the practice of creating multiple Hindu undivided families by making partial partitions</w:t>
      </w:r>
      <w:r w:rsidRPr="005A268B">
        <w:rPr>
          <w:rFonts w:ascii="Times New Roman" w:eastAsia="Times New Roman" w:hAnsi="Times New Roman" w:cs="Times New Roman"/>
          <w:i/>
          <w:iCs/>
          <w:kern w:val="0"/>
          <w:sz w:val="28"/>
          <w:szCs w:val="28"/>
          <w:lang w:eastAsia="en-IN"/>
          <w14:ligatures w14:val="none"/>
        </w:rPr>
        <w:t>, the Finance Act has inserted a new sub- section (9) in section 171 whereunder partial partitions of Hindu undivided families effected after 31</w:t>
      </w:r>
      <w:r w:rsidRPr="005A268B">
        <w:rPr>
          <w:rFonts w:ascii="Times New Roman" w:eastAsia="Times New Roman" w:hAnsi="Times New Roman" w:cs="Times New Roman"/>
          <w:i/>
          <w:iCs/>
          <w:kern w:val="0"/>
          <w:sz w:val="28"/>
          <w:szCs w:val="28"/>
          <w:vertAlign w:val="superscript"/>
          <w:lang w:eastAsia="en-IN"/>
          <w14:ligatures w14:val="none"/>
        </w:rPr>
        <w:t>st</w:t>
      </w:r>
      <w:r w:rsidRPr="005A268B">
        <w:rPr>
          <w:rFonts w:ascii="Times New Roman" w:eastAsia="Times New Roman" w:hAnsi="Times New Roman" w:cs="Times New Roman"/>
          <w:i/>
          <w:iCs/>
          <w:kern w:val="0"/>
          <w:sz w:val="28"/>
          <w:szCs w:val="28"/>
          <w:lang w:eastAsia="en-IN"/>
          <w14:ligatures w14:val="none"/>
        </w:rPr>
        <w:t xml:space="preserve"> Dec, 1978 will not be recognised for tax purposes. The new sub-section (9) which will apply in the cases of Hindu undivided families which have hitherto been assessed in the status of Hindu undivided families, has made the following provisions in this regard……" </w:t>
      </w:r>
    </w:p>
    <w:p w14:paraId="61B7781E" w14:textId="643B4738" w:rsidR="00465B5B" w:rsidRPr="005A268B" w:rsidRDefault="00465B5B" w:rsidP="005A268B">
      <w:pPr>
        <w:pStyle w:val="ListParagraph"/>
        <w:spacing w:after="220" w:line="300" w:lineRule="atLeast"/>
        <w:jc w:val="both"/>
        <w:rPr>
          <w:rFonts w:ascii="Times New Roman" w:eastAsia="Times New Roman" w:hAnsi="Times New Roman" w:cs="Times New Roman"/>
          <w:i/>
          <w:iCs/>
          <w:kern w:val="0"/>
          <w:sz w:val="28"/>
          <w:szCs w:val="28"/>
          <w:lang w:eastAsia="en-IN"/>
          <w14:ligatures w14:val="none"/>
        </w:rPr>
      </w:pPr>
      <w:r w:rsidRPr="005A268B">
        <w:rPr>
          <w:rFonts w:ascii="Times New Roman" w:eastAsia="Times New Roman" w:hAnsi="Times New Roman" w:cs="Times New Roman"/>
          <w:i/>
          <w:iCs/>
          <w:kern w:val="0"/>
          <w:sz w:val="28"/>
          <w:szCs w:val="28"/>
          <w:lang w:eastAsia="en-IN"/>
          <w14:ligatures w14:val="none"/>
        </w:rPr>
        <w:t>Thus, it is no</w:t>
      </w:r>
      <w:r w:rsidR="005A268B">
        <w:rPr>
          <w:rFonts w:ascii="Times New Roman" w:eastAsia="Times New Roman" w:hAnsi="Times New Roman" w:cs="Times New Roman"/>
          <w:i/>
          <w:iCs/>
          <w:kern w:val="0"/>
          <w:sz w:val="28"/>
          <w:szCs w:val="28"/>
          <w:lang w:eastAsia="en-IN"/>
          <w14:ligatures w14:val="none"/>
        </w:rPr>
        <w:t xml:space="preserve">t </w:t>
      </w:r>
      <w:r w:rsidRPr="005A268B">
        <w:rPr>
          <w:rFonts w:ascii="Times New Roman" w:eastAsia="Times New Roman" w:hAnsi="Times New Roman" w:cs="Times New Roman"/>
          <w:i/>
          <w:iCs/>
          <w:kern w:val="0"/>
          <w:sz w:val="28"/>
          <w:szCs w:val="28"/>
          <w:lang w:eastAsia="en-IN"/>
          <w14:ligatures w14:val="none"/>
        </w:rPr>
        <w:t>possible to create multiple HUFs.</w:t>
      </w:r>
    </w:p>
    <w:p w14:paraId="56880019" w14:textId="77777777" w:rsidR="00465B5B" w:rsidRPr="000C66AD" w:rsidRDefault="00465B5B" w:rsidP="00465B5B">
      <w:pPr>
        <w:pStyle w:val="ListParagraph"/>
        <w:spacing w:after="220" w:line="300" w:lineRule="atLeast"/>
        <w:jc w:val="both"/>
        <w:rPr>
          <w:rFonts w:ascii="Trebuchet MS" w:eastAsia="Times New Roman" w:hAnsi="Trebuchet MS" w:cs="Times New Roman"/>
          <w:kern w:val="0"/>
          <w:sz w:val="28"/>
          <w:szCs w:val="28"/>
          <w:lang w:eastAsia="en-IN"/>
          <w14:ligatures w14:val="none"/>
        </w:rPr>
      </w:pPr>
    </w:p>
    <w:p w14:paraId="3A7899D2" w14:textId="77777777" w:rsidR="00465B5B" w:rsidRPr="000C66AD" w:rsidRDefault="00465B5B" w:rsidP="00465B5B">
      <w:pPr>
        <w:pStyle w:val="ListParagraph"/>
        <w:numPr>
          <w:ilvl w:val="0"/>
          <w:numId w:val="1"/>
        </w:numPr>
        <w:spacing w:after="22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xml:space="preserve">However, this doesn't mean that </w:t>
      </w:r>
      <w:r w:rsidRPr="005A268B">
        <w:rPr>
          <w:rFonts w:ascii="Trebuchet MS" w:eastAsia="Times New Roman" w:hAnsi="Trebuchet MS" w:cs="Times New Roman"/>
          <w:kern w:val="0"/>
          <w:sz w:val="28"/>
          <w:szCs w:val="28"/>
          <w:lang w:eastAsia="en-IN"/>
          <w14:ligatures w14:val="none"/>
        </w:rPr>
        <w:t>a family cannot have more than one HUF. It is possible to have a separate</w:t>
      </w:r>
      <w:r w:rsidRPr="000C66AD">
        <w:rPr>
          <w:rFonts w:ascii="Trebuchet MS" w:eastAsia="Times New Roman" w:hAnsi="Trebuchet MS" w:cs="Times New Roman"/>
          <w:kern w:val="0"/>
          <w:sz w:val="28"/>
          <w:szCs w:val="28"/>
          <w:lang w:eastAsia="en-IN"/>
          <w14:ligatures w14:val="none"/>
        </w:rPr>
        <w:t xml:space="preserve"> HUF with father as the Karta and another HUF with his son or sons as Karta or even with daughters in view of the amendment made in the HS Act in 2005.</w:t>
      </w:r>
    </w:p>
    <w:p w14:paraId="3FB1E5DB" w14:textId="77777777" w:rsidR="00465B5B" w:rsidRDefault="00465B5B" w:rsidP="00465B5B">
      <w:pPr>
        <w:pStyle w:val="ListParagraph"/>
        <w:rPr>
          <w:rFonts w:ascii="Trebuchet MS" w:eastAsia="Times New Roman" w:hAnsi="Trebuchet MS" w:cs="Times New Roman"/>
          <w:kern w:val="0"/>
          <w:sz w:val="28"/>
          <w:szCs w:val="28"/>
          <w:lang w:eastAsia="en-IN"/>
          <w14:ligatures w14:val="none"/>
        </w:rPr>
      </w:pPr>
    </w:p>
    <w:p w14:paraId="4EC01A1B" w14:textId="414449C9" w:rsidR="00666ECB" w:rsidRDefault="00666ECB" w:rsidP="00666ECB">
      <w:pPr>
        <w:pStyle w:val="ListParagraph"/>
        <w:numPr>
          <w:ilvl w:val="0"/>
          <w:numId w:val="1"/>
        </w:numPr>
        <w:rPr>
          <w:rFonts w:ascii="Trebuchet MS" w:eastAsia="Times New Roman" w:hAnsi="Trebuchet MS" w:cs="Times New Roman"/>
          <w:kern w:val="0"/>
          <w:sz w:val="28"/>
          <w:szCs w:val="28"/>
          <w:lang w:eastAsia="en-IN"/>
          <w14:ligatures w14:val="none"/>
        </w:rPr>
      </w:pPr>
      <w:r>
        <w:rPr>
          <w:rFonts w:ascii="Trebuchet MS" w:eastAsia="Times New Roman" w:hAnsi="Trebuchet MS" w:cs="Times New Roman"/>
          <w:kern w:val="0"/>
          <w:sz w:val="28"/>
          <w:szCs w:val="28"/>
          <w:lang w:eastAsia="en-IN"/>
          <w14:ligatures w14:val="none"/>
        </w:rPr>
        <w:t>As per section 171, the AO will conduct enquiry whether the HUF has been totally partitioned or it’s a partial partition.</w:t>
      </w:r>
    </w:p>
    <w:p w14:paraId="31763917" w14:textId="77777777" w:rsidR="00666ECB" w:rsidRPr="00666ECB" w:rsidRDefault="00666ECB" w:rsidP="00666ECB">
      <w:pPr>
        <w:pStyle w:val="ListParagraph"/>
        <w:rPr>
          <w:rFonts w:ascii="Trebuchet MS" w:eastAsia="Times New Roman" w:hAnsi="Trebuchet MS" w:cs="Times New Roman"/>
          <w:kern w:val="0"/>
          <w:sz w:val="28"/>
          <w:szCs w:val="28"/>
          <w:lang w:eastAsia="en-IN"/>
          <w14:ligatures w14:val="none"/>
        </w:rPr>
      </w:pPr>
    </w:p>
    <w:p w14:paraId="4815D113" w14:textId="37C3913B" w:rsidR="00FC63E2" w:rsidRDefault="00FC63E2" w:rsidP="00666ECB">
      <w:pPr>
        <w:pStyle w:val="ListParagraph"/>
        <w:numPr>
          <w:ilvl w:val="1"/>
          <w:numId w:val="1"/>
        </w:numPr>
        <w:rPr>
          <w:rFonts w:ascii="Trebuchet MS" w:eastAsia="Times New Roman" w:hAnsi="Trebuchet MS" w:cs="Times New Roman"/>
          <w:kern w:val="0"/>
          <w:sz w:val="28"/>
          <w:szCs w:val="28"/>
          <w:lang w:eastAsia="en-IN"/>
          <w14:ligatures w14:val="none"/>
        </w:rPr>
      </w:pPr>
      <w:r>
        <w:rPr>
          <w:rFonts w:ascii="Trebuchet MS" w:eastAsia="Times New Roman" w:hAnsi="Trebuchet MS" w:cs="Times New Roman"/>
          <w:kern w:val="0"/>
          <w:sz w:val="28"/>
          <w:szCs w:val="28"/>
          <w:lang w:eastAsia="en-IN"/>
          <w14:ligatures w14:val="none"/>
        </w:rPr>
        <w:t>Partial Partition- All members are not partitioned or all properties are not partitioned.</w:t>
      </w:r>
    </w:p>
    <w:p w14:paraId="1E3B554B" w14:textId="77777777" w:rsidR="00FC63E2" w:rsidRDefault="00FC63E2" w:rsidP="00FC63E2">
      <w:pPr>
        <w:pStyle w:val="ListParagraph"/>
        <w:ind w:left="2160"/>
        <w:rPr>
          <w:rFonts w:ascii="Trebuchet MS" w:eastAsia="Times New Roman" w:hAnsi="Trebuchet MS" w:cs="Times New Roman"/>
          <w:kern w:val="0"/>
          <w:sz w:val="28"/>
          <w:szCs w:val="28"/>
          <w:lang w:eastAsia="en-IN"/>
          <w14:ligatures w14:val="none"/>
        </w:rPr>
      </w:pPr>
    </w:p>
    <w:p w14:paraId="2EB35951" w14:textId="3198A59A" w:rsidR="00666ECB" w:rsidRDefault="00666ECB" w:rsidP="00666ECB">
      <w:pPr>
        <w:pStyle w:val="ListParagraph"/>
        <w:numPr>
          <w:ilvl w:val="1"/>
          <w:numId w:val="1"/>
        </w:numPr>
        <w:rPr>
          <w:rFonts w:ascii="Trebuchet MS" w:eastAsia="Times New Roman" w:hAnsi="Trebuchet MS" w:cs="Times New Roman"/>
          <w:kern w:val="0"/>
          <w:sz w:val="28"/>
          <w:szCs w:val="28"/>
          <w:lang w:eastAsia="en-IN"/>
          <w14:ligatures w14:val="none"/>
        </w:rPr>
      </w:pPr>
      <w:r>
        <w:rPr>
          <w:rFonts w:ascii="Trebuchet MS" w:eastAsia="Times New Roman" w:hAnsi="Trebuchet MS" w:cs="Times New Roman"/>
          <w:kern w:val="0"/>
          <w:sz w:val="28"/>
          <w:szCs w:val="28"/>
          <w:lang w:eastAsia="en-IN"/>
          <w14:ligatures w14:val="none"/>
        </w:rPr>
        <w:t>The effect is that, if partial partition- then income will be continued to be Assessed as income of HUF.</w:t>
      </w:r>
    </w:p>
    <w:p w14:paraId="483A7C5B" w14:textId="77777777" w:rsidR="00296F0E" w:rsidRDefault="00296F0E" w:rsidP="00296F0E">
      <w:pPr>
        <w:rPr>
          <w:rFonts w:ascii="Trebuchet MS" w:eastAsia="Times New Roman" w:hAnsi="Trebuchet MS" w:cs="Times New Roman"/>
          <w:b/>
          <w:bCs/>
          <w:kern w:val="0"/>
          <w:sz w:val="28"/>
          <w:szCs w:val="28"/>
          <w:lang w:eastAsia="en-IN"/>
          <w14:ligatures w14:val="none"/>
        </w:rPr>
      </w:pPr>
    </w:p>
    <w:p w14:paraId="0257CB31" w14:textId="315C97DB" w:rsidR="00296F0E" w:rsidRPr="00296F0E" w:rsidRDefault="00296F0E" w:rsidP="00296F0E">
      <w:pPr>
        <w:rPr>
          <w:rFonts w:ascii="Trebuchet MS" w:eastAsia="Times New Roman" w:hAnsi="Trebuchet MS" w:cs="Times New Roman"/>
          <w:b/>
          <w:bCs/>
          <w:kern w:val="0"/>
          <w:sz w:val="28"/>
          <w:szCs w:val="28"/>
          <w:lang w:eastAsia="en-IN"/>
          <w14:ligatures w14:val="none"/>
        </w:rPr>
      </w:pPr>
      <w:r w:rsidRPr="00296F0E">
        <w:rPr>
          <w:rFonts w:ascii="Trebuchet MS" w:eastAsia="Times New Roman" w:hAnsi="Trebuchet MS" w:cs="Times New Roman"/>
          <w:b/>
          <w:bCs/>
          <w:kern w:val="0"/>
          <w:sz w:val="28"/>
          <w:szCs w:val="28"/>
          <w:lang w:eastAsia="en-IN"/>
          <w14:ligatures w14:val="none"/>
        </w:rPr>
        <w:t>Ownership of Partitioned Property</w:t>
      </w:r>
    </w:p>
    <w:p w14:paraId="26F70081" w14:textId="77777777" w:rsidR="00296F0E" w:rsidRPr="000C66AD" w:rsidRDefault="00296F0E" w:rsidP="00296F0E">
      <w:pPr>
        <w:rPr>
          <w:rFonts w:ascii="Trebuchet MS" w:hAnsi="Trebuchet MS"/>
          <w:sz w:val="28"/>
          <w:szCs w:val="28"/>
        </w:rPr>
      </w:pPr>
      <w:r w:rsidRPr="000C66AD">
        <w:rPr>
          <w:rFonts w:ascii="Trebuchet MS" w:hAnsi="Trebuchet MS"/>
          <w:sz w:val="28"/>
          <w:szCs w:val="28"/>
        </w:rPr>
        <w:t>Property received by karta and Sons become part of their respective HUF.</w:t>
      </w:r>
    </w:p>
    <w:p w14:paraId="6CDB2170" w14:textId="77777777" w:rsidR="00296F0E" w:rsidRPr="000C66AD" w:rsidRDefault="00296F0E" w:rsidP="00296F0E">
      <w:pPr>
        <w:pStyle w:val="ListParagraph"/>
        <w:numPr>
          <w:ilvl w:val="0"/>
          <w:numId w:val="1"/>
        </w:numPr>
        <w:rPr>
          <w:rFonts w:ascii="Trebuchet MS" w:hAnsi="Trebuchet MS"/>
          <w:sz w:val="28"/>
          <w:szCs w:val="28"/>
        </w:rPr>
      </w:pPr>
      <w:r w:rsidRPr="000C66AD">
        <w:rPr>
          <w:rFonts w:ascii="Trebuchet MS" w:hAnsi="Trebuchet MS"/>
          <w:sz w:val="28"/>
          <w:szCs w:val="28"/>
        </w:rPr>
        <w:t>However, where the recipient is bachelor Individual than income arising from such property will be assessed in his individual capacity unless he finds any mate.</w:t>
      </w:r>
    </w:p>
    <w:p w14:paraId="2D9EB7F4" w14:textId="77777777" w:rsidR="00296F0E" w:rsidRPr="000C66AD" w:rsidRDefault="00296F0E" w:rsidP="00296F0E">
      <w:pPr>
        <w:pStyle w:val="ListParagraph"/>
        <w:numPr>
          <w:ilvl w:val="0"/>
          <w:numId w:val="1"/>
        </w:numPr>
        <w:rPr>
          <w:rFonts w:ascii="Trebuchet MS" w:hAnsi="Trebuchet MS"/>
          <w:sz w:val="28"/>
          <w:szCs w:val="28"/>
        </w:rPr>
      </w:pPr>
      <w:r w:rsidRPr="000C66AD">
        <w:rPr>
          <w:rFonts w:ascii="Trebuchet MS" w:hAnsi="Trebuchet MS"/>
          <w:sz w:val="28"/>
          <w:szCs w:val="28"/>
        </w:rPr>
        <w:t xml:space="preserve">Since, plurality of persons is essential character of a Family. </w:t>
      </w:r>
    </w:p>
    <w:p w14:paraId="19B5ED96" w14:textId="77777777" w:rsidR="00296F0E" w:rsidRDefault="00296F0E" w:rsidP="00296F0E">
      <w:pPr>
        <w:jc w:val="both"/>
        <w:rPr>
          <w:rFonts w:ascii="Trebuchet MS" w:eastAsia="Times New Roman" w:hAnsi="Trebuchet MS" w:cs="Times New Roman"/>
          <w:kern w:val="0"/>
          <w:sz w:val="28"/>
          <w:szCs w:val="28"/>
          <w:lang w:eastAsia="en-IN"/>
          <w14:ligatures w14:val="none"/>
        </w:rPr>
      </w:pPr>
    </w:p>
    <w:p w14:paraId="598D3118" w14:textId="17E72653" w:rsidR="00296F0E" w:rsidRPr="00296F0E" w:rsidRDefault="00296F0E" w:rsidP="00296F0E">
      <w:pPr>
        <w:jc w:val="both"/>
        <w:rPr>
          <w:rFonts w:ascii="Trebuchet MS" w:eastAsia="Times New Roman" w:hAnsi="Trebuchet MS" w:cs="Times New Roman"/>
          <w:kern w:val="0"/>
          <w:sz w:val="28"/>
          <w:szCs w:val="28"/>
          <w:lang w:eastAsia="en-IN"/>
          <w14:ligatures w14:val="none"/>
        </w:rPr>
      </w:pPr>
      <w:r>
        <w:rPr>
          <w:rFonts w:ascii="Trebuchet MS" w:eastAsia="Times New Roman" w:hAnsi="Trebuchet MS" w:cs="Times New Roman"/>
          <w:kern w:val="0"/>
          <w:sz w:val="28"/>
          <w:szCs w:val="28"/>
          <w:lang w:eastAsia="en-IN"/>
          <w14:ligatures w14:val="none"/>
        </w:rPr>
        <w:t>Whereas, in case of wife and daughter- such property will become their individual property.</w:t>
      </w:r>
    </w:p>
    <w:p w14:paraId="3C8B8860" w14:textId="77777777" w:rsidR="00B02FA1" w:rsidRDefault="00B02FA1" w:rsidP="00296F0E">
      <w:pPr>
        <w:spacing w:line="300" w:lineRule="atLeast"/>
        <w:jc w:val="both"/>
        <w:rPr>
          <w:rFonts w:ascii="Trebuchet MS" w:eastAsia="Times New Roman" w:hAnsi="Trebuchet MS" w:cs="Times New Roman"/>
          <w:b/>
          <w:bCs/>
          <w:kern w:val="0"/>
          <w:sz w:val="28"/>
          <w:szCs w:val="28"/>
          <w:lang w:eastAsia="en-IN"/>
          <w14:ligatures w14:val="none"/>
        </w:rPr>
      </w:pPr>
    </w:p>
    <w:p w14:paraId="2078D471" w14:textId="77777777" w:rsidR="003211C3" w:rsidRPr="000C66AD" w:rsidRDefault="003211C3" w:rsidP="00465B5B">
      <w:pPr>
        <w:spacing w:line="300" w:lineRule="atLeast"/>
        <w:jc w:val="both"/>
        <w:rPr>
          <w:rFonts w:ascii="Trebuchet MS" w:eastAsia="Times New Roman" w:hAnsi="Trebuchet MS" w:cs="Times New Roman"/>
          <w:kern w:val="0"/>
          <w:sz w:val="28"/>
          <w:szCs w:val="28"/>
          <w:lang w:eastAsia="en-IN"/>
          <w14:ligatures w14:val="none"/>
        </w:rPr>
      </w:pPr>
    </w:p>
    <w:p w14:paraId="46DABD49" w14:textId="77777777" w:rsidR="00465B5B" w:rsidRPr="00296F0E" w:rsidRDefault="00465B5B" w:rsidP="00465B5B">
      <w:pPr>
        <w:spacing w:line="300" w:lineRule="atLeast"/>
        <w:jc w:val="both"/>
        <w:rPr>
          <w:rFonts w:ascii="Trebuchet MS" w:eastAsia="Times New Roman" w:hAnsi="Trebuchet MS" w:cs="Times New Roman"/>
          <w:b/>
          <w:bCs/>
          <w:kern w:val="0"/>
          <w:sz w:val="28"/>
          <w:szCs w:val="28"/>
          <w:lang w:eastAsia="en-IN"/>
          <w14:ligatures w14:val="none"/>
        </w:rPr>
      </w:pPr>
      <w:r w:rsidRPr="00296F0E">
        <w:rPr>
          <w:rFonts w:ascii="Trebuchet MS" w:eastAsia="Times New Roman" w:hAnsi="Trebuchet MS" w:cs="Times New Roman"/>
          <w:b/>
          <w:bCs/>
          <w:kern w:val="0"/>
          <w:sz w:val="28"/>
          <w:szCs w:val="28"/>
          <w:lang w:eastAsia="en-IN"/>
          <w14:ligatures w14:val="none"/>
        </w:rPr>
        <w:t>Section 47:</w:t>
      </w:r>
    </w:p>
    <w:p w14:paraId="509C7FB9" w14:textId="77777777" w:rsidR="00465B5B" w:rsidRPr="000C66AD" w:rsidRDefault="00465B5B" w:rsidP="00465B5B">
      <w:pPr>
        <w:pStyle w:val="tx"/>
        <w:spacing w:before="0" w:beforeAutospacing="0" w:after="80" w:afterAutospacing="0"/>
        <w:jc w:val="both"/>
        <w:rPr>
          <w:sz w:val="28"/>
          <w:szCs w:val="28"/>
        </w:rPr>
      </w:pPr>
      <w:r w:rsidRPr="000C66AD">
        <w:rPr>
          <w:b/>
          <w:bCs/>
          <w:sz w:val="28"/>
          <w:szCs w:val="28"/>
        </w:rPr>
        <w:t>Transactions not regarded as transfer.</w:t>
      </w:r>
    </w:p>
    <w:p w14:paraId="1EDCACC2" w14:textId="77777777" w:rsidR="00465B5B" w:rsidRPr="000C66AD" w:rsidRDefault="00465B5B" w:rsidP="00465B5B">
      <w:pPr>
        <w:pStyle w:val="tx"/>
        <w:spacing w:before="0" w:beforeAutospacing="0" w:after="80" w:afterAutospacing="0"/>
        <w:jc w:val="both"/>
        <w:rPr>
          <w:sz w:val="28"/>
          <w:szCs w:val="28"/>
        </w:rPr>
      </w:pPr>
      <w:r w:rsidRPr="000C66AD">
        <w:rPr>
          <w:b/>
          <w:bCs/>
          <w:sz w:val="28"/>
          <w:szCs w:val="28"/>
        </w:rPr>
        <w:t>47.</w:t>
      </w:r>
      <w:r w:rsidRPr="000C66AD">
        <w:rPr>
          <w:sz w:val="28"/>
          <w:szCs w:val="28"/>
        </w:rPr>
        <w:t> Nothing contained in </w:t>
      </w:r>
      <w:hyperlink r:id="rId10" w:history="1">
        <w:r w:rsidRPr="000C66AD">
          <w:rPr>
            <w:rStyle w:val="Hyperlink"/>
            <w:color w:val="auto"/>
            <w:sz w:val="28"/>
            <w:szCs w:val="28"/>
          </w:rPr>
          <w:t>section 45</w:t>
        </w:r>
      </w:hyperlink>
      <w:r w:rsidRPr="000C66AD">
        <w:rPr>
          <w:sz w:val="28"/>
          <w:szCs w:val="28"/>
        </w:rPr>
        <w:t> shall apply to the following transfers :—</w:t>
      </w:r>
    </w:p>
    <w:p w14:paraId="12DC4C12" w14:textId="4793C635" w:rsidR="00465B5B" w:rsidRDefault="00465B5B" w:rsidP="00465B5B">
      <w:pPr>
        <w:pStyle w:val="indent1"/>
        <w:spacing w:before="0" w:beforeAutospacing="0" w:after="80" w:afterAutospacing="0"/>
        <w:ind w:left="567" w:hanging="397"/>
        <w:jc w:val="both"/>
        <w:rPr>
          <w:sz w:val="28"/>
          <w:szCs w:val="28"/>
        </w:rPr>
      </w:pPr>
      <w:r w:rsidRPr="000C66AD">
        <w:rPr>
          <w:sz w:val="28"/>
          <w:szCs w:val="28"/>
        </w:rPr>
        <w:t>(</w:t>
      </w:r>
      <w:r w:rsidRPr="000C66AD">
        <w:rPr>
          <w:i/>
          <w:iCs/>
          <w:sz w:val="28"/>
          <w:szCs w:val="28"/>
        </w:rPr>
        <w:t>i</w:t>
      </w:r>
      <w:r w:rsidRPr="000C66AD">
        <w:rPr>
          <w:sz w:val="28"/>
          <w:szCs w:val="28"/>
        </w:rPr>
        <w:t xml:space="preserve">) any distribution of capital assets on </w:t>
      </w:r>
      <w:r w:rsidRPr="000C66AD">
        <w:rPr>
          <w:b/>
          <w:bCs/>
          <w:sz w:val="28"/>
          <w:szCs w:val="28"/>
          <w:u w:val="single"/>
        </w:rPr>
        <w:t xml:space="preserve">the total or </w:t>
      </w:r>
      <w:r w:rsidRPr="003211C3">
        <w:rPr>
          <w:b/>
          <w:bCs/>
          <w:sz w:val="28"/>
          <w:szCs w:val="28"/>
          <w:highlight w:val="yellow"/>
          <w:u w:val="single"/>
        </w:rPr>
        <w:t>partial partition</w:t>
      </w:r>
      <w:r w:rsidRPr="000C66AD">
        <w:rPr>
          <w:sz w:val="28"/>
          <w:szCs w:val="28"/>
        </w:rPr>
        <w:t xml:space="preserve"> of a Hindu undivided family;</w:t>
      </w:r>
    </w:p>
    <w:p w14:paraId="0D618A95" w14:textId="77777777" w:rsidR="00670ABF" w:rsidRDefault="00670ABF" w:rsidP="00465B5B">
      <w:pPr>
        <w:pStyle w:val="indent1"/>
        <w:spacing w:before="0" w:beforeAutospacing="0" w:after="80" w:afterAutospacing="0"/>
        <w:ind w:left="567" w:hanging="397"/>
        <w:jc w:val="both"/>
        <w:rPr>
          <w:sz w:val="28"/>
          <w:szCs w:val="28"/>
        </w:rPr>
      </w:pPr>
    </w:p>
    <w:p w14:paraId="234AFD66" w14:textId="4FFBA3AA" w:rsidR="00670ABF" w:rsidRDefault="00670ABF" w:rsidP="00465B5B">
      <w:pPr>
        <w:pStyle w:val="indent1"/>
        <w:spacing w:before="0" w:beforeAutospacing="0" w:after="80" w:afterAutospacing="0"/>
        <w:ind w:left="567" w:hanging="397"/>
        <w:jc w:val="both"/>
        <w:rPr>
          <w:b/>
          <w:bCs/>
          <w:sz w:val="28"/>
          <w:szCs w:val="28"/>
        </w:rPr>
      </w:pPr>
      <w:r w:rsidRPr="00670ABF">
        <w:rPr>
          <w:b/>
          <w:bCs/>
          <w:sz w:val="28"/>
          <w:szCs w:val="28"/>
        </w:rPr>
        <w:t>If Partial Partition is not allowed, then why does section 47 provide for that?</w:t>
      </w:r>
    </w:p>
    <w:p w14:paraId="5AB33116" w14:textId="5DC62657" w:rsidR="00B02FA1" w:rsidRDefault="00B02FA1" w:rsidP="00B02FA1">
      <w:pPr>
        <w:pStyle w:val="indent1"/>
        <w:numPr>
          <w:ilvl w:val="0"/>
          <w:numId w:val="1"/>
        </w:numPr>
        <w:spacing w:before="0" w:beforeAutospacing="0" w:after="80" w:afterAutospacing="0"/>
        <w:jc w:val="both"/>
        <w:rPr>
          <w:b/>
          <w:bCs/>
          <w:sz w:val="28"/>
          <w:szCs w:val="28"/>
        </w:rPr>
      </w:pPr>
      <w:r>
        <w:rPr>
          <w:b/>
          <w:bCs/>
          <w:sz w:val="28"/>
          <w:szCs w:val="28"/>
        </w:rPr>
        <w:t>HUF wont get taxed</w:t>
      </w:r>
    </w:p>
    <w:p w14:paraId="143D2186" w14:textId="77777777" w:rsidR="00B02FA1" w:rsidRPr="00670ABF" w:rsidRDefault="00B02FA1" w:rsidP="000A3DE0">
      <w:pPr>
        <w:pStyle w:val="indent1"/>
        <w:spacing w:before="0" w:beforeAutospacing="0" w:after="80" w:afterAutospacing="0"/>
        <w:ind w:left="360"/>
        <w:jc w:val="both"/>
        <w:rPr>
          <w:b/>
          <w:bCs/>
          <w:sz w:val="28"/>
          <w:szCs w:val="28"/>
        </w:rPr>
      </w:pPr>
    </w:p>
    <w:p w14:paraId="540BEAD8" w14:textId="77777777" w:rsidR="00465B5B" w:rsidRDefault="00465B5B" w:rsidP="00465B5B">
      <w:pPr>
        <w:pStyle w:val="ListParagraph"/>
        <w:jc w:val="both"/>
        <w:rPr>
          <w:rFonts w:ascii="Trebuchet MS" w:hAnsi="Trebuchet MS" w:cs="Arial"/>
          <w:sz w:val="28"/>
          <w:szCs w:val="28"/>
          <w:shd w:val="clear" w:color="auto" w:fill="F2F2F2"/>
        </w:rPr>
      </w:pPr>
    </w:p>
    <w:p w14:paraId="7D2EED25" w14:textId="77777777" w:rsidR="00296F0E" w:rsidRPr="000C66AD" w:rsidRDefault="00296F0E" w:rsidP="00296F0E">
      <w:p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b/>
          <w:bCs/>
          <w:kern w:val="0"/>
          <w:sz w:val="28"/>
          <w:szCs w:val="28"/>
          <w:lang w:eastAsia="en-IN"/>
          <w14:ligatures w14:val="none"/>
        </w:rPr>
        <w:t>Powers of alienation</w:t>
      </w:r>
    </w:p>
    <w:p w14:paraId="0C4CABEA" w14:textId="77777777" w:rsidR="00296F0E" w:rsidRPr="000C66AD" w:rsidRDefault="00296F0E" w:rsidP="00296F0E">
      <w:p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b/>
          <w:bCs/>
          <w:kern w:val="0"/>
          <w:sz w:val="28"/>
          <w:szCs w:val="28"/>
          <w:lang w:eastAsia="en-IN"/>
          <w14:ligatures w14:val="none"/>
        </w:rPr>
        <w:t>6. </w:t>
      </w:r>
      <w:r w:rsidRPr="000C66AD">
        <w:rPr>
          <w:rFonts w:ascii="Trebuchet MS" w:eastAsia="Times New Roman" w:hAnsi="Trebuchet MS" w:cs="Times New Roman"/>
          <w:kern w:val="0"/>
          <w:sz w:val="28"/>
          <w:szCs w:val="28"/>
          <w:lang w:eastAsia="en-IN"/>
          <w14:ligatures w14:val="none"/>
        </w:rPr>
        <w:t>The Madras High Court in the case of </w:t>
      </w:r>
      <w:r w:rsidRPr="000C66AD">
        <w:rPr>
          <w:rFonts w:ascii="Trebuchet MS" w:eastAsia="Times New Roman" w:hAnsi="Trebuchet MS" w:cs="Times New Roman"/>
          <w:b/>
          <w:bCs/>
          <w:i/>
          <w:iCs/>
          <w:kern w:val="0"/>
          <w:sz w:val="28"/>
          <w:szCs w:val="28"/>
          <w:lang w:eastAsia="en-IN"/>
          <w14:ligatures w14:val="none"/>
        </w:rPr>
        <w:t>Kandasami</w:t>
      </w:r>
      <w:r w:rsidRPr="000C66AD">
        <w:rPr>
          <w:rFonts w:ascii="Trebuchet MS" w:eastAsia="Times New Roman" w:hAnsi="Trebuchet MS" w:cs="Times New Roman"/>
          <w:b/>
          <w:bCs/>
          <w:kern w:val="0"/>
          <w:sz w:val="28"/>
          <w:szCs w:val="28"/>
          <w:lang w:eastAsia="en-IN"/>
          <w14:ligatures w14:val="none"/>
        </w:rPr>
        <w:t> v. </w:t>
      </w:r>
      <w:r w:rsidRPr="000C66AD">
        <w:rPr>
          <w:rFonts w:ascii="Trebuchet MS" w:eastAsia="Times New Roman" w:hAnsi="Trebuchet MS" w:cs="Times New Roman"/>
          <w:b/>
          <w:bCs/>
          <w:i/>
          <w:iCs/>
          <w:kern w:val="0"/>
          <w:sz w:val="28"/>
          <w:szCs w:val="28"/>
          <w:lang w:eastAsia="en-IN"/>
          <w14:ligatures w14:val="none"/>
        </w:rPr>
        <w:t>Somakanda</w:t>
      </w:r>
      <w:r w:rsidRPr="000C66AD">
        <w:rPr>
          <w:rFonts w:ascii="Trebuchet MS" w:eastAsia="Times New Roman" w:hAnsi="Trebuchet MS" w:cs="Times New Roman"/>
          <w:kern w:val="0"/>
          <w:sz w:val="28"/>
          <w:szCs w:val="28"/>
          <w:lang w:eastAsia="en-IN"/>
          <w14:ligatures w14:val="none"/>
        </w:rPr>
        <w:t xml:space="preserve"> ILR [1912] 35 Mad 777 held that the power of alienation can be exercised </w:t>
      </w:r>
      <w:r w:rsidRPr="003211C3">
        <w:rPr>
          <w:rFonts w:ascii="Trebuchet MS" w:eastAsia="Times New Roman" w:hAnsi="Trebuchet MS" w:cs="Times New Roman"/>
          <w:b/>
          <w:bCs/>
          <w:kern w:val="0"/>
          <w:sz w:val="28"/>
          <w:szCs w:val="28"/>
          <w:lang w:eastAsia="en-IN"/>
          <w14:ligatures w14:val="none"/>
        </w:rPr>
        <w:t>only by the Karta that too only for the three purposes</w:t>
      </w:r>
      <w:r w:rsidRPr="000C66AD">
        <w:rPr>
          <w:rFonts w:ascii="Trebuchet MS" w:eastAsia="Times New Roman" w:hAnsi="Trebuchet MS" w:cs="Times New Roman"/>
          <w:kern w:val="0"/>
          <w:sz w:val="28"/>
          <w:szCs w:val="28"/>
          <w:lang w:eastAsia="en-IN"/>
          <w14:ligatures w14:val="none"/>
        </w:rPr>
        <w:t>-</w:t>
      </w:r>
    </w:p>
    <w:tbl>
      <w:tblPr>
        <w:tblW w:w="0" w:type="auto"/>
        <w:tblInd w:w="28" w:type="dxa"/>
        <w:tblBorders>
          <w:top w:val="single" w:sz="2" w:space="0" w:color="000000"/>
          <w:left w:val="single" w:sz="2"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5"/>
        <w:gridCol w:w="115"/>
        <w:gridCol w:w="4179"/>
      </w:tblGrid>
      <w:tr w:rsidR="00296F0E" w:rsidRPr="000C66AD" w14:paraId="633C7703" w14:textId="77777777" w:rsidTr="00F37670">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746BF311" w14:textId="77777777" w:rsidR="00296F0E" w:rsidRPr="000C66AD" w:rsidRDefault="00296F0E" w:rsidP="00F37670">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6C58C2D1"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2436BEA5"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Legal necessity</w:t>
            </w:r>
          </w:p>
        </w:tc>
      </w:tr>
      <w:tr w:rsidR="00296F0E" w:rsidRPr="000C66AD" w14:paraId="6026F7C3" w14:textId="77777777" w:rsidTr="00F37670">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21AE9B56" w14:textId="77777777" w:rsidR="00296F0E" w:rsidRPr="000C66AD" w:rsidRDefault="00296F0E" w:rsidP="00F37670">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ii</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428A05A3"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44071E6C"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Acts benefitting the estate</w:t>
            </w:r>
          </w:p>
        </w:tc>
      </w:tr>
      <w:tr w:rsidR="00296F0E" w:rsidRPr="000C66AD" w14:paraId="7F0FB902" w14:textId="77777777" w:rsidTr="00F37670">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51FBEE92" w14:textId="77777777" w:rsidR="00296F0E" w:rsidRPr="000C66AD" w:rsidRDefault="00296F0E" w:rsidP="00F37670">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lastRenderedPageBreak/>
              <w:t>(</w:t>
            </w:r>
            <w:r w:rsidRPr="000C66AD">
              <w:rPr>
                <w:rFonts w:ascii="Trebuchet MS" w:eastAsia="Times New Roman" w:hAnsi="Trebuchet MS" w:cs="Times New Roman"/>
                <w:i/>
                <w:iCs/>
                <w:kern w:val="0"/>
                <w:sz w:val="28"/>
                <w:szCs w:val="28"/>
                <w:lang w:eastAsia="en-IN"/>
                <w14:ligatures w14:val="none"/>
              </w:rPr>
              <w:t>iii</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48FC451C"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10F4167F"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Acts involving indispensable duty</w:t>
            </w:r>
          </w:p>
        </w:tc>
      </w:tr>
    </w:tbl>
    <w:p w14:paraId="19398EBF" w14:textId="77777777" w:rsidR="00296F0E" w:rsidRPr="000C66AD" w:rsidRDefault="00296F0E" w:rsidP="00296F0E">
      <w:pPr>
        <w:spacing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It was observed in this case that Karta can alienate the joint </w:t>
      </w:r>
      <w:r w:rsidRPr="000C66AD">
        <w:rPr>
          <w:rFonts w:ascii="Trebuchet MS" w:eastAsia="Times New Roman" w:hAnsi="Trebuchet MS" w:cs="Times New Roman"/>
          <w:kern w:val="0"/>
          <w:sz w:val="28"/>
          <w:szCs w:val="28"/>
          <w:shd w:val="clear" w:color="auto" w:fill="FFFF00"/>
          <w:lang w:eastAsia="en-IN"/>
          <w14:ligatures w14:val="none"/>
        </w:rPr>
        <w:t>family</w:t>
      </w:r>
      <w:r w:rsidRPr="000C66AD">
        <w:rPr>
          <w:rFonts w:ascii="Trebuchet MS" w:eastAsia="Times New Roman" w:hAnsi="Trebuchet MS" w:cs="Times New Roman"/>
          <w:kern w:val="0"/>
          <w:sz w:val="28"/>
          <w:szCs w:val="28"/>
          <w:lang w:eastAsia="en-IN"/>
          <w14:ligatures w14:val="none"/>
        </w:rPr>
        <w:t> property, after obtaining the conc</w:t>
      </w:r>
      <w:r>
        <w:rPr>
          <w:rFonts w:ascii="Trebuchet MS" w:eastAsia="Times New Roman" w:hAnsi="Trebuchet MS" w:cs="Times New Roman"/>
          <w:kern w:val="0"/>
          <w:sz w:val="28"/>
          <w:szCs w:val="28"/>
          <w:lang w:eastAsia="en-IN"/>
          <w14:ligatures w14:val="none"/>
        </w:rPr>
        <w:t>ensus</w:t>
      </w:r>
      <w:r w:rsidRPr="000C66AD">
        <w:rPr>
          <w:rFonts w:ascii="Trebuchet MS" w:eastAsia="Times New Roman" w:hAnsi="Trebuchet MS" w:cs="Times New Roman"/>
          <w:kern w:val="0"/>
          <w:sz w:val="28"/>
          <w:szCs w:val="28"/>
          <w:lang w:eastAsia="en-IN"/>
          <w14:ligatures w14:val="none"/>
        </w:rPr>
        <w:t xml:space="preserve"> of the other Coparceners, even in the absence of legal necessity, the benefit of the estate, or acts involving indispensable obligation provided that the </w:t>
      </w:r>
      <w:r w:rsidRPr="003211C3">
        <w:rPr>
          <w:rFonts w:ascii="Trebuchet MS" w:eastAsia="Times New Roman" w:hAnsi="Trebuchet MS" w:cs="Times New Roman"/>
          <w:b/>
          <w:bCs/>
          <w:kern w:val="0"/>
          <w:sz w:val="28"/>
          <w:szCs w:val="28"/>
          <w:lang w:eastAsia="en-IN"/>
          <w14:ligatures w14:val="none"/>
        </w:rPr>
        <w:t>consenting Coparceners are adults.</w:t>
      </w:r>
    </w:p>
    <w:p w14:paraId="12DE18C0" w14:textId="77777777" w:rsidR="00465B5B" w:rsidRDefault="00465B5B" w:rsidP="00465B5B">
      <w:pPr>
        <w:pStyle w:val="ListParagraph"/>
        <w:jc w:val="both"/>
        <w:rPr>
          <w:rFonts w:ascii="Trebuchet MS" w:hAnsi="Trebuchet MS" w:cs="Arial"/>
          <w:sz w:val="28"/>
          <w:szCs w:val="28"/>
          <w:shd w:val="clear" w:color="auto" w:fill="F2F2F2"/>
        </w:rPr>
      </w:pPr>
    </w:p>
    <w:p w14:paraId="13CFBE16" w14:textId="333C6B69" w:rsidR="00296F0E" w:rsidRPr="00296F0E" w:rsidRDefault="00296F0E" w:rsidP="00296F0E">
      <w:pPr>
        <w:spacing w:after="220" w:line="300" w:lineRule="atLeast"/>
        <w:jc w:val="both"/>
        <w:rPr>
          <w:rFonts w:ascii="Trebuchet MS" w:eastAsia="Times New Roman" w:hAnsi="Trebuchet MS" w:cs="Times New Roman"/>
          <w:b/>
          <w:bCs/>
          <w:kern w:val="0"/>
          <w:sz w:val="28"/>
          <w:szCs w:val="28"/>
          <w:lang w:eastAsia="en-IN"/>
          <w14:ligatures w14:val="none"/>
        </w:rPr>
      </w:pPr>
      <w:r w:rsidRPr="00296F0E">
        <w:rPr>
          <w:rFonts w:ascii="Trebuchet MS" w:eastAsia="Times New Roman" w:hAnsi="Trebuchet MS" w:cs="Times New Roman"/>
          <w:b/>
          <w:bCs/>
          <w:kern w:val="0"/>
          <w:sz w:val="28"/>
          <w:szCs w:val="28"/>
          <w:lang w:eastAsia="en-IN"/>
          <w14:ligatures w14:val="none"/>
        </w:rPr>
        <w:t>The following are generally recognized as coparcenary property-</w:t>
      </w:r>
    </w:p>
    <w:tbl>
      <w:tblPr>
        <w:tblW w:w="0" w:type="auto"/>
        <w:tblInd w:w="28" w:type="dxa"/>
        <w:tblBorders>
          <w:top w:val="single" w:sz="2" w:space="0" w:color="000000"/>
          <w:left w:val="single" w:sz="2"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5"/>
        <w:gridCol w:w="115"/>
        <w:gridCol w:w="8172"/>
      </w:tblGrid>
      <w:tr w:rsidR="00296F0E" w:rsidRPr="000C66AD" w14:paraId="62BB5BD4" w14:textId="77777777" w:rsidTr="00F37670">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23BC0D30" w14:textId="77777777" w:rsidR="00296F0E" w:rsidRPr="000C66AD" w:rsidRDefault="00296F0E" w:rsidP="00F37670">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0052B0F3"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7F5B0AD4"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Ancestral property;</w:t>
            </w:r>
          </w:p>
        </w:tc>
      </w:tr>
      <w:tr w:rsidR="00296F0E" w:rsidRPr="000C66AD" w14:paraId="71E3B276" w14:textId="77777777" w:rsidTr="00F37670">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48BEC322" w14:textId="77777777" w:rsidR="00296F0E" w:rsidRPr="000C66AD" w:rsidRDefault="00296F0E" w:rsidP="00F37670">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ii</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5950D780"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0D6835C6"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Property allotted on partition;</w:t>
            </w:r>
          </w:p>
        </w:tc>
      </w:tr>
      <w:tr w:rsidR="00296F0E" w:rsidRPr="000C66AD" w14:paraId="5D65456C" w14:textId="77777777" w:rsidTr="00F37670">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47424849" w14:textId="77777777" w:rsidR="00296F0E" w:rsidRPr="000C66AD" w:rsidRDefault="00296F0E" w:rsidP="00F37670">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iii</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54DBF641"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1582FE5F"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Property jointly acquired by coparcenary;</w:t>
            </w:r>
          </w:p>
        </w:tc>
      </w:tr>
      <w:tr w:rsidR="00296F0E" w:rsidRPr="000C66AD" w14:paraId="643B7B43" w14:textId="77777777" w:rsidTr="00F37670">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112521F2" w14:textId="77777777" w:rsidR="00296F0E" w:rsidRPr="000C66AD" w:rsidRDefault="00296F0E" w:rsidP="00F37670">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iv</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5893EEFE"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3E447B50"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Property acquired with the funds of coparcenary, and</w:t>
            </w:r>
          </w:p>
        </w:tc>
      </w:tr>
      <w:tr w:rsidR="00296F0E" w:rsidRPr="000C66AD" w14:paraId="12F51AE5" w14:textId="77777777" w:rsidTr="00F37670">
        <w:tc>
          <w:tcPr>
            <w:tcW w:w="705" w:type="dxa"/>
            <w:tcBorders>
              <w:top w:val="single" w:sz="2" w:space="0" w:color="000000"/>
              <w:left w:val="single" w:sz="2" w:space="0" w:color="000000"/>
              <w:bottom w:val="single" w:sz="2" w:space="0" w:color="000000"/>
              <w:right w:val="single" w:sz="2" w:space="0" w:color="000000"/>
            </w:tcBorders>
            <w:shd w:val="clear" w:color="auto" w:fill="FFFFFF"/>
            <w:noWrap/>
            <w:hideMark/>
          </w:tcPr>
          <w:p w14:paraId="58F492F4" w14:textId="77777777" w:rsidR="00296F0E" w:rsidRPr="000C66AD" w:rsidRDefault="00296F0E" w:rsidP="00F37670">
            <w:pPr>
              <w:spacing w:after="0" w:line="300" w:lineRule="atLeast"/>
              <w:jc w:val="right"/>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w:t>
            </w:r>
            <w:r w:rsidRPr="000C66AD">
              <w:rPr>
                <w:rFonts w:ascii="Trebuchet MS" w:eastAsia="Times New Roman" w:hAnsi="Trebuchet MS" w:cs="Times New Roman"/>
                <w:i/>
                <w:iCs/>
                <w:kern w:val="0"/>
                <w:sz w:val="28"/>
                <w:szCs w:val="28"/>
                <w:lang w:eastAsia="en-IN"/>
                <w14:ligatures w14:val="none"/>
              </w:rPr>
              <w:t>v</w:t>
            </w:r>
            <w:r w:rsidRPr="000C66AD">
              <w:rPr>
                <w:rFonts w:ascii="Trebuchet MS" w:eastAsia="Times New Roman" w:hAnsi="Trebuchet MS" w:cs="Times New Roman"/>
                <w:kern w:val="0"/>
                <w:sz w:val="28"/>
                <w:szCs w:val="28"/>
                <w:lang w:eastAsia="en-IN"/>
                <w14:ligatures w14:val="none"/>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39B67DC5"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hideMark/>
          </w:tcPr>
          <w:p w14:paraId="2903D452" w14:textId="77777777" w:rsidR="00296F0E" w:rsidRPr="000C66AD" w:rsidRDefault="00296F0E" w:rsidP="00F37670">
            <w:pPr>
              <w:spacing w:after="0" w:line="300" w:lineRule="atLeast"/>
              <w:jc w:val="both"/>
              <w:rPr>
                <w:rFonts w:ascii="Trebuchet MS" w:eastAsia="Times New Roman" w:hAnsi="Trebuchet MS" w:cs="Times New Roman"/>
                <w:kern w:val="0"/>
                <w:sz w:val="28"/>
                <w:szCs w:val="28"/>
                <w:lang w:eastAsia="en-IN"/>
                <w14:ligatures w14:val="none"/>
              </w:rPr>
            </w:pPr>
            <w:r w:rsidRPr="000C66AD">
              <w:rPr>
                <w:rFonts w:ascii="Trebuchet MS" w:eastAsia="Times New Roman" w:hAnsi="Trebuchet MS" w:cs="Times New Roman"/>
                <w:kern w:val="0"/>
                <w:sz w:val="28"/>
                <w:szCs w:val="28"/>
                <w:lang w:eastAsia="en-IN"/>
                <w14:ligatures w14:val="none"/>
              </w:rPr>
              <w:t>Separate property of a coparcener being thrown into common </w:t>
            </w:r>
            <w:r w:rsidRPr="00296F0E">
              <w:rPr>
                <w:rFonts w:ascii="Trebuchet MS" w:eastAsia="Times New Roman" w:hAnsi="Trebuchet MS" w:cs="Times New Roman"/>
                <w:kern w:val="0"/>
                <w:sz w:val="28"/>
                <w:szCs w:val="28"/>
                <w:lang w:eastAsia="en-IN"/>
                <w14:ligatures w14:val="none"/>
              </w:rPr>
              <w:t>family</w:t>
            </w:r>
            <w:r w:rsidRPr="000C66AD">
              <w:rPr>
                <w:rFonts w:ascii="Trebuchet MS" w:eastAsia="Times New Roman" w:hAnsi="Trebuchet MS" w:cs="Times New Roman"/>
                <w:kern w:val="0"/>
                <w:sz w:val="28"/>
                <w:szCs w:val="28"/>
                <w:lang w:eastAsia="en-IN"/>
                <w14:ligatures w14:val="none"/>
              </w:rPr>
              <w:t> hotchpot and treated as coparcenary property.</w:t>
            </w:r>
          </w:p>
        </w:tc>
      </w:tr>
    </w:tbl>
    <w:p w14:paraId="0D6AE7D2" w14:textId="77777777" w:rsidR="00465B5B" w:rsidRPr="00296F0E" w:rsidRDefault="00465B5B" w:rsidP="00296F0E">
      <w:pPr>
        <w:jc w:val="both"/>
        <w:rPr>
          <w:rFonts w:ascii="Trebuchet MS" w:hAnsi="Trebuchet MS" w:cs="Arial"/>
          <w:sz w:val="28"/>
          <w:szCs w:val="28"/>
          <w:shd w:val="clear" w:color="auto" w:fill="F2F2F2"/>
        </w:rPr>
      </w:pPr>
    </w:p>
    <w:p w14:paraId="0D6FCF6F" w14:textId="1A8CE568" w:rsidR="005B2960" w:rsidRPr="000C66AD" w:rsidRDefault="005B2960" w:rsidP="008779D7">
      <w:pPr>
        <w:rPr>
          <w:rFonts w:ascii="Trebuchet MS" w:hAnsi="Trebuchet MS"/>
          <w:sz w:val="28"/>
          <w:szCs w:val="28"/>
        </w:rPr>
      </w:pPr>
      <w:r w:rsidRPr="000C66AD">
        <w:rPr>
          <w:rFonts w:ascii="Trebuchet MS" w:hAnsi="Trebuchet MS"/>
          <w:sz w:val="28"/>
          <w:szCs w:val="28"/>
        </w:rPr>
        <w:t>Residential status</w:t>
      </w:r>
    </w:p>
    <w:p w14:paraId="649E3133" w14:textId="2278F373" w:rsidR="005B2960" w:rsidRPr="000C66AD" w:rsidRDefault="005B2960" w:rsidP="008779D7">
      <w:pPr>
        <w:pStyle w:val="ListParagraph"/>
        <w:rPr>
          <w:rFonts w:ascii="Trebuchet MS" w:hAnsi="Trebuchet MS"/>
          <w:sz w:val="28"/>
          <w:szCs w:val="28"/>
          <w:shd w:val="clear" w:color="auto" w:fill="FFFFFF"/>
        </w:rPr>
      </w:pPr>
      <w:r w:rsidRPr="000C66AD">
        <w:rPr>
          <w:rFonts w:ascii="Trebuchet MS" w:hAnsi="Trebuchet MS"/>
          <w:sz w:val="28"/>
          <w:szCs w:val="28"/>
          <w:shd w:val="clear" w:color="auto" w:fill="FFFFFF"/>
        </w:rPr>
        <w:t> (</w:t>
      </w:r>
      <w:r w:rsidRPr="000C66AD">
        <w:rPr>
          <w:rFonts w:ascii="Trebuchet MS" w:hAnsi="Trebuchet MS"/>
          <w:i/>
          <w:iCs/>
          <w:sz w:val="28"/>
          <w:szCs w:val="28"/>
          <w:shd w:val="clear" w:color="auto" w:fill="FFFFFF"/>
        </w:rPr>
        <w:t>2</w:t>
      </w:r>
      <w:r w:rsidRPr="000C66AD">
        <w:rPr>
          <w:rFonts w:ascii="Trebuchet MS" w:hAnsi="Trebuchet MS"/>
          <w:sz w:val="28"/>
          <w:szCs w:val="28"/>
          <w:shd w:val="clear" w:color="auto" w:fill="FFFFFF"/>
        </w:rPr>
        <w:t>) A Hindu undivided family, firm or other association of persons is said to be resident in India in any previous year in every case except where during that year the control and management of its affairs is situated wholly outside India.</w:t>
      </w:r>
    </w:p>
    <w:p w14:paraId="4A356F84" w14:textId="77777777" w:rsidR="000659BF" w:rsidRPr="000C66AD" w:rsidRDefault="000659BF" w:rsidP="008779D7">
      <w:pPr>
        <w:pStyle w:val="ListParagraph"/>
        <w:rPr>
          <w:rFonts w:ascii="Trebuchet MS" w:hAnsi="Trebuchet MS"/>
          <w:sz w:val="28"/>
          <w:szCs w:val="28"/>
          <w:shd w:val="clear" w:color="auto" w:fill="FFFFFF"/>
        </w:rPr>
      </w:pPr>
    </w:p>
    <w:p w14:paraId="565CDB36" w14:textId="69C058ED" w:rsidR="000659BF" w:rsidRDefault="00296F0E" w:rsidP="00296F0E">
      <w:pPr>
        <w:rPr>
          <w:rFonts w:ascii="Trebuchet MS" w:hAnsi="Trebuchet MS"/>
          <w:b/>
          <w:bCs/>
          <w:sz w:val="28"/>
          <w:szCs w:val="28"/>
          <w:shd w:val="clear" w:color="auto" w:fill="FFFFFF"/>
        </w:rPr>
      </w:pPr>
      <w:r w:rsidRPr="00296F0E">
        <w:rPr>
          <w:rFonts w:ascii="Trebuchet MS" w:hAnsi="Trebuchet MS"/>
          <w:b/>
          <w:bCs/>
          <w:sz w:val="28"/>
          <w:szCs w:val="28"/>
          <w:shd w:val="clear" w:color="auto" w:fill="FFFFFF"/>
        </w:rPr>
        <w:t>Creation of HUF-</w:t>
      </w:r>
    </w:p>
    <w:p w14:paraId="6EA7EEFB" w14:textId="5B2E03DC" w:rsidR="00296F0E" w:rsidRDefault="00296F0E" w:rsidP="00296F0E">
      <w:pPr>
        <w:pStyle w:val="ListParagraph"/>
        <w:numPr>
          <w:ilvl w:val="0"/>
          <w:numId w:val="1"/>
        </w:numPr>
        <w:rPr>
          <w:rFonts w:ascii="Trebuchet MS" w:hAnsi="Trebuchet MS"/>
          <w:b/>
          <w:bCs/>
          <w:sz w:val="28"/>
          <w:szCs w:val="28"/>
          <w:shd w:val="clear" w:color="auto" w:fill="FFFFFF"/>
        </w:rPr>
      </w:pPr>
      <w:r>
        <w:rPr>
          <w:rFonts w:ascii="Trebuchet MS" w:hAnsi="Trebuchet MS"/>
          <w:b/>
          <w:bCs/>
          <w:sz w:val="28"/>
          <w:szCs w:val="28"/>
          <w:shd w:val="clear" w:color="auto" w:fill="FFFFFF"/>
        </w:rPr>
        <w:t xml:space="preserve">Individual does not refers to a family- </w:t>
      </w:r>
    </w:p>
    <w:p w14:paraId="146B8FAB" w14:textId="0E5793D7" w:rsidR="00296F0E" w:rsidRPr="00296F0E" w:rsidRDefault="00296F0E" w:rsidP="00296F0E">
      <w:pPr>
        <w:pStyle w:val="ListParagraph"/>
        <w:numPr>
          <w:ilvl w:val="0"/>
          <w:numId w:val="1"/>
        </w:numPr>
        <w:rPr>
          <w:rFonts w:ascii="Trebuchet MS" w:hAnsi="Trebuchet MS"/>
          <w:b/>
          <w:bCs/>
          <w:sz w:val="28"/>
          <w:szCs w:val="28"/>
          <w:shd w:val="clear" w:color="auto" w:fill="FFFFFF"/>
        </w:rPr>
      </w:pPr>
      <w:r>
        <w:rPr>
          <w:rFonts w:ascii="Trebuchet MS" w:hAnsi="Trebuchet MS"/>
          <w:b/>
          <w:bCs/>
          <w:sz w:val="28"/>
          <w:szCs w:val="28"/>
          <w:shd w:val="clear" w:color="auto" w:fill="FFFFFF"/>
        </w:rPr>
        <w:t>Family means plurality of perons.</w:t>
      </w:r>
    </w:p>
    <w:p w14:paraId="5A652ABE" w14:textId="25E3F784" w:rsidR="00296F0E" w:rsidRPr="00F251A4" w:rsidRDefault="00296F0E" w:rsidP="00296F0E">
      <w:pPr>
        <w:pStyle w:val="ListParagraph"/>
        <w:numPr>
          <w:ilvl w:val="0"/>
          <w:numId w:val="1"/>
        </w:numPr>
        <w:jc w:val="both"/>
        <w:rPr>
          <w:rFonts w:ascii="Trebuchet MS" w:hAnsi="Trebuchet MS"/>
          <w:sz w:val="28"/>
          <w:szCs w:val="28"/>
          <w:shd w:val="clear" w:color="auto" w:fill="FFFFFF"/>
        </w:rPr>
      </w:pPr>
      <w:r w:rsidRPr="00296F0E">
        <w:rPr>
          <w:rFonts w:ascii="Segoe UI" w:hAnsi="Segoe UI" w:cs="Segoe UI"/>
          <w:color w:val="212529"/>
          <w:sz w:val="26"/>
          <w:szCs w:val="26"/>
          <w:shd w:val="clear" w:color="auto" w:fill="FFFFFF"/>
        </w:rPr>
        <w:t>W</w:t>
      </w:r>
      <w:r w:rsidRPr="00296F0E">
        <w:rPr>
          <w:rFonts w:ascii="Segoe UI" w:hAnsi="Segoe UI" w:cs="Segoe UI"/>
          <w:color w:val="212529"/>
          <w:sz w:val="26"/>
          <w:szCs w:val="26"/>
          <w:shd w:val="clear" w:color="auto" w:fill="FFFFFF"/>
        </w:rPr>
        <w:t xml:space="preserve">here the family consists of only Husband and wife, an interesting question arises whether </w:t>
      </w:r>
      <w:r w:rsidRPr="00F251A4">
        <w:rPr>
          <w:rFonts w:ascii="Segoe UI" w:hAnsi="Segoe UI" w:cs="Segoe UI"/>
          <w:b/>
          <w:bCs/>
          <w:color w:val="212529"/>
          <w:sz w:val="26"/>
          <w:szCs w:val="26"/>
          <w:shd w:val="clear" w:color="auto" w:fill="FFFFFF"/>
        </w:rPr>
        <w:t>unborn child in the womb of mother along with Husband and wife can constitute a valid HUF. A similar question arose in the case of T.S. Srinivasan vs CIT (1966) 60 ITR 36. In this case, it was agreed that under the Hindu Law, a son conceived has the same rights of property as a living son and therefore, HUF status should be granted from the time the son was conceived</w:t>
      </w:r>
      <w:r w:rsidRPr="00296F0E">
        <w:rPr>
          <w:rFonts w:ascii="Segoe UI" w:hAnsi="Segoe UI" w:cs="Segoe UI"/>
          <w:color w:val="212529"/>
          <w:sz w:val="26"/>
          <w:szCs w:val="26"/>
          <w:shd w:val="clear" w:color="auto" w:fill="FFFFFF"/>
        </w:rPr>
        <w:t xml:space="preserve">. However, the Apex Court after detailed reasoning held that for the purposes of income-tax Act </w:t>
      </w:r>
      <w:r w:rsidRPr="00F251A4">
        <w:rPr>
          <w:rFonts w:ascii="Segoe UI" w:hAnsi="Segoe UI" w:cs="Segoe UI"/>
          <w:b/>
          <w:bCs/>
          <w:color w:val="212529"/>
          <w:sz w:val="26"/>
          <w:szCs w:val="26"/>
          <w:u w:val="single"/>
          <w:shd w:val="clear" w:color="auto" w:fill="FFFFFF"/>
        </w:rPr>
        <w:t>unless the son</w:t>
      </w:r>
      <w:r w:rsidRPr="00296F0E">
        <w:rPr>
          <w:rFonts w:ascii="Segoe UI" w:hAnsi="Segoe UI" w:cs="Segoe UI"/>
          <w:color w:val="212529"/>
          <w:sz w:val="26"/>
          <w:szCs w:val="26"/>
          <w:shd w:val="clear" w:color="auto" w:fill="FFFFFF"/>
        </w:rPr>
        <w:t xml:space="preserve"> comes into existence, it is difficult to recognize the status of HUF notwithstanding the fact that the Hindu Law recognizes rights of an unborn son or son in the womb.</w:t>
      </w:r>
    </w:p>
    <w:p w14:paraId="1FA5743C" w14:textId="7487EE3F" w:rsidR="00F251A4" w:rsidRPr="00296F0E" w:rsidRDefault="00F251A4" w:rsidP="00296F0E">
      <w:pPr>
        <w:pStyle w:val="ListParagraph"/>
        <w:numPr>
          <w:ilvl w:val="0"/>
          <w:numId w:val="1"/>
        </w:numPr>
        <w:jc w:val="both"/>
        <w:rPr>
          <w:rFonts w:ascii="Trebuchet MS" w:hAnsi="Trebuchet MS"/>
          <w:sz w:val="28"/>
          <w:szCs w:val="28"/>
          <w:shd w:val="clear" w:color="auto" w:fill="FFFFFF"/>
        </w:rPr>
      </w:pPr>
      <w:r>
        <w:rPr>
          <w:rFonts w:ascii="Segoe UI" w:hAnsi="Segoe UI" w:cs="Segoe UI"/>
          <w:color w:val="212529"/>
          <w:sz w:val="26"/>
          <w:szCs w:val="26"/>
          <w:shd w:val="clear" w:color="auto" w:fill="FFFFFF"/>
        </w:rPr>
        <w:t>After 2005 Amendment?</w:t>
      </w:r>
    </w:p>
    <w:p w14:paraId="3FCBD2EC" w14:textId="77777777" w:rsidR="00296F0E" w:rsidRDefault="00296F0E" w:rsidP="00296F0E">
      <w:pPr>
        <w:pStyle w:val="ListParagraph"/>
        <w:jc w:val="both"/>
        <w:rPr>
          <w:rFonts w:ascii="Trebuchet MS" w:hAnsi="Trebuchet MS" w:cs="Arial"/>
          <w:sz w:val="28"/>
          <w:szCs w:val="28"/>
          <w:shd w:val="clear" w:color="auto" w:fill="F2F2F2"/>
        </w:rPr>
      </w:pPr>
    </w:p>
    <w:p w14:paraId="09676E2C" w14:textId="77777777" w:rsidR="00296F0E" w:rsidRPr="00296F0E" w:rsidRDefault="00296F0E" w:rsidP="00296F0E">
      <w:pPr>
        <w:jc w:val="both"/>
        <w:rPr>
          <w:rFonts w:ascii="Trebuchet MS" w:hAnsi="Trebuchet MS" w:cs="Arial"/>
          <w:sz w:val="28"/>
          <w:szCs w:val="28"/>
          <w:shd w:val="clear" w:color="auto" w:fill="F2F2F2"/>
        </w:rPr>
      </w:pPr>
      <w:r w:rsidRPr="00296F0E">
        <w:rPr>
          <w:rFonts w:ascii="Trebuchet MS" w:hAnsi="Trebuchet MS" w:cs="Arial"/>
          <w:sz w:val="28"/>
          <w:szCs w:val="28"/>
          <w:shd w:val="clear" w:color="auto" w:fill="F2F2F2"/>
        </w:rPr>
        <w:t xml:space="preserve">Heads of Income For HUF </w:t>
      </w:r>
    </w:p>
    <w:p w14:paraId="5FFA3791" w14:textId="77777777" w:rsidR="00296F0E" w:rsidRDefault="00296F0E" w:rsidP="00296F0E">
      <w:pPr>
        <w:pStyle w:val="ListParagraph"/>
        <w:numPr>
          <w:ilvl w:val="1"/>
          <w:numId w:val="1"/>
        </w:numPr>
        <w:jc w:val="both"/>
        <w:rPr>
          <w:rFonts w:ascii="Trebuchet MS" w:hAnsi="Trebuchet MS" w:cs="Arial"/>
          <w:sz w:val="28"/>
          <w:szCs w:val="28"/>
          <w:shd w:val="clear" w:color="auto" w:fill="F2F2F2"/>
        </w:rPr>
      </w:pPr>
      <w:r w:rsidRPr="00465B5B">
        <w:rPr>
          <w:rFonts w:ascii="Trebuchet MS" w:hAnsi="Trebuchet MS" w:cs="Arial"/>
          <w:sz w:val="28"/>
          <w:szCs w:val="28"/>
          <w:shd w:val="clear" w:color="auto" w:fill="F2F2F2"/>
        </w:rPr>
        <w:t xml:space="preserve">Income from House Property </w:t>
      </w:r>
    </w:p>
    <w:p w14:paraId="1D32AE9D" w14:textId="77777777" w:rsidR="00296F0E" w:rsidRDefault="00296F0E" w:rsidP="00296F0E">
      <w:pPr>
        <w:pStyle w:val="ListParagraph"/>
        <w:numPr>
          <w:ilvl w:val="1"/>
          <w:numId w:val="1"/>
        </w:numPr>
        <w:jc w:val="both"/>
        <w:rPr>
          <w:rFonts w:ascii="Trebuchet MS" w:hAnsi="Trebuchet MS" w:cs="Arial"/>
          <w:sz w:val="28"/>
          <w:szCs w:val="28"/>
          <w:shd w:val="clear" w:color="auto" w:fill="F2F2F2"/>
        </w:rPr>
      </w:pPr>
      <w:r w:rsidRPr="00465B5B">
        <w:rPr>
          <w:rFonts w:ascii="Trebuchet MS" w:hAnsi="Trebuchet MS" w:cs="Arial"/>
          <w:sz w:val="28"/>
          <w:szCs w:val="28"/>
          <w:shd w:val="clear" w:color="auto" w:fill="F2F2F2"/>
        </w:rPr>
        <w:t xml:space="preserve">Income from Other Sources </w:t>
      </w:r>
    </w:p>
    <w:p w14:paraId="3C6176F5" w14:textId="77777777" w:rsidR="00296F0E" w:rsidRDefault="00296F0E" w:rsidP="00296F0E">
      <w:pPr>
        <w:pStyle w:val="ListParagraph"/>
        <w:numPr>
          <w:ilvl w:val="1"/>
          <w:numId w:val="1"/>
        </w:numPr>
        <w:jc w:val="both"/>
        <w:rPr>
          <w:rFonts w:ascii="Trebuchet MS" w:hAnsi="Trebuchet MS" w:cs="Arial"/>
          <w:sz w:val="28"/>
          <w:szCs w:val="28"/>
          <w:shd w:val="clear" w:color="auto" w:fill="F2F2F2"/>
        </w:rPr>
      </w:pPr>
      <w:r w:rsidRPr="00465B5B">
        <w:rPr>
          <w:rFonts w:ascii="Trebuchet MS" w:hAnsi="Trebuchet MS" w:cs="Arial"/>
          <w:sz w:val="28"/>
          <w:szCs w:val="28"/>
          <w:shd w:val="clear" w:color="auto" w:fill="F2F2F2"/>
        </w:rPr>
        <w:t xml:space="preserve">Capital Gains </w:t>
      </w:r>
    </w:p>
    <w:p w14:paraId="021D5825" w14:textId="77777777" w:rsidR="00296F0E" w:rsidRDefault="00296F0E" w:rsidP="00296F0E">
      <w:pPr>
        <w:pStyle w:val="ListParagraph"/>
        <w:numPr>
          <w:ilvl w:val="1"/>
          <w:numId w:val="1"/>
        </w:numPr>
        <w:jc w:val="both"/>
        <w:rPr>
          <w:rFonts w:ascii="Trebuchet MS" w:hAnsi="Trebuchet MS" w:cs="Arial"/>
          <w:sz w:val="28"/>
          <w:szCs w:val="28"/>
          <w:shd w:val="clear" w:color="auto" w:fill="F2F2F2"/>
        </w:rPr>
      </w:pPr>
      <w:r w:rsidRPr="00465B5B">
        <w:rPr>
          <w:rFonts w:ascii="Trebuchet MS" w:hAnsi="Trebuchet MS" w:cs="Arial"/>
          <w:sz w:val="28"/>
          <w:szCs w:val="28"/>
          <w:shd w:val="clear" w:color="auto" w:fill="F2F2F2"/>
        </w:rPr>
        <w:t xml:space="preserve">Profits and Gains of Business or Profession </w:t>
      </w:r>
    </w:p>
    <w:p w14:paraId="3ACB2D54" w14:textId="77777777" w:rsidR="00296F0E" w:rsidRPr="00465B5B" w:rsidRDefault="00296F0E" w:rsidP="00296F0E">
      <w:pPr>
        <w:pStyle w:val="ListParagraph"/>
        <w:ind w:left="1440"/>
        <w:jc w:val="both"/>
        <w:rPr>
          <w:rFonts w:ascii="Trebuchet MS" w:hAnsi="Trebuchet MS" w:cs="Arial"/>
          <w:sz w:val="28"/>
          <w:szCs w:val="28"/>
          <w:shd w:val="clear" w:color="auto" w:fill="F2F2F2"/>
        </w:rPr>
      </w:pPr>
      <w:r w:rsidRPr="00465B5B">
        <w:rPr>
          <w:rFonts w:ascii="Trebuchet MS" w:hAnsi="Trebuchet MS" w:cs="Arial"/>
          <w:sz w:val="28"/>
          <w:szCs w:val="28"/>
          <w:shd w:val="clear" w:color="auto" w:fill="F2F2F2"/>
        </w:rPr>
        <w:t>Since HUF is an artificial person it cannot earn income from salary.</w:t>
      </w:r>
    </w:p>
    <w:p w14:paraId="27AD5613" w14:textId="77777777" w:rsidR="00296F0E" w:rsidRDefault="00296F0E" w:rsidP="008779D7">
      <w:pPr>
        <w:pStyle w:val="ListParagraph"/>
        <w:rPr>
          <w:rFonts w:ascii="Trebuchet MS" w:hAnsi="Trebuchet MS"/>
          <w:sz w:val="28"/>
          <w:szCs w:val="28"/>
          <w:shd w:val="clear" w:color="auto" w:fill="FFFFFF"/>
        </w:rPr>
      </w:pPr>
    </w:p>
    <w:p w14:paraId="1075B587" w14:textId="5032E429" w:rsidR="00296F0E" w:rsidRPr="00296F0E" w:rsidRDefault="00296F0E" w:rsidP="00296F0E">
      <w:pPr>
        <w:rPr>
          <w:rFonts w:ascii="Trebuchet MS" w:hAnsi="Trebuchet MS"/>
          <w:b/>
          <w:bCs/>
          <w:sz w:val="28"/>
          <w:szCs w:val="28"/>
          <w:shd w:val="clear" w:color="auto" w:fill="FFFFFF"/>
        </w:rPr>
      </w:pPr>
      <w:r w:rsidRPr="00296F0E">
        <w:rPr>
          <w:rFonts w:ascii="Trebuchet MS" w:hAnsi="Trebuchet MS"/>
          <w:b/>
          <w:bCs/>
          <w:sz w:val="28"/>
          <w:szCs w:val="28"/>
          <w:shd w:val="clear" w:color="auto" w:fill="FFFFFF"/>
        </w:rPr>
        <w:t>Some Case Laws:</w:t>
      </w:r>
    </w:p>
    <w:p w14:paraId="3898E593" w14:textId="77777777" w:rsidR="000659BF" w:rsidRPr="000C66AD" w:rsidRDefault="000659BF" w:rsidP="008779D7">
      <w:pPr>
        <w:spacing w:line="300" w:lineRule="atLeast"/>
        <w:jc w:val="both"/>
        <w:rPr>
          <w:rFonts w:ascii="Georgia" w:eastAsia="Times New Roman" w:hAnsi="Georgia" w:cs="Times New Roman"/>
          <w:kern w:val="0"/>
          <w:sz w:val="28"/>
          <w:szCs w:val="28"/>
          <w:lang w:eastAsia="en-IN"/>
          <w14:ligatures w14:val="none"/>
        </w:rPr>
      </w:pPr>
      <w:r w:rsidRPr="000C66AD">
        <w:rPr>
          <w:rFonts w:ascii="Georgia" w:eastAsia="Times New Roman" w:hAnsi="Georgia" w:cs="Times New Roman"/>
          <w:b/>
          <w:bCs/>
          <w:kern w:val="0"/>
          <w:sz w:val="28"/>
          <w:szCs w:val="28"/>
          <w:lang w:eastAsia="en-IN"/>
          <w14:ligatures w14:val="none"/>
        </w:rPr>
        <w:t>1.3</w:t>
      </w:r>
      <w:r w:rsidRPr="000C66AD">
        <w:rPr>
          <w:rFonts w:ascii="Georgia" w:eastAsia="Times New Roman" w:hAnsi="Georgia" w:cs="Times New Roman"/>
          <w:kern w:val="0"/>
          <w:sz w:val="28"/>
          <w:szCs w:val="28"/>
          <w:lang w:eastAsia="en-IN"/>
          <w14:ligatures w14:val="none"/>
        </w:rPr>
        <w:t> The Gujarat High Court in the case of </w:t>
      </w:r>
      <w:r w:rsidRPr="000C66AD">
        <w:rPr>
          <w:rFonts w:ascii="Georgia" w:eastAsia="Times New Roman" w:hAnsi="Georgia" w:cs="Times New Roman"/>
          <w:b/>
          <w:bCs/>
          <w:i/>
          <w:iCs/>
          <w:kern w:val="0"/>
          <w:sz w:val="28"/>
          <w:szCs w:val="28"/>
          <w:lang w:eastAsia="en-IN"/>
          <w14:ligatures w14:val="none"/>
        </w:rPr>
        <w:t>Pr. CIT</w:t>
      </w:r>
      <w:r w:rsidRPr="000C66AD">
        <w:rPr>
          <w:rFonts w:ascii="Georgia" w:eastAsia="Times New Roman" w:hAnsi="Georgia" w:cs="Times New Roman"/>
          <w:b/>
          <w:bCs/>
          <w:kern w:val="0"/>
          <w:sz w:val="28"/>
          <w:szCs w:val="28"/>
          <w:lang w:eastAsia="en-IN"/>
          <w14:ligatures w14:val="none"/>
        </w:rPr>
        <w:t> v. </w:t>
      </w:r>
      <w:r w:rsidRPr="000C66AD">
        <w:rPr>
          <w:rFonts w:ascii="Georgia" w:eastAsia="Times New Roman" w:hAnsi="Georgia" w:cs="Times New Roman"/>
          <w:b/>
          <w:bCs/>
          <w:i/>
          <w:iCs/>
          <w:kern w:val="0"/>
          <w:sz w:val="28"/>
          <w:szCs w:val="28"/>
          <w:lang w:eastAsia="en-IN"/>
          <w14:ligatures w14:val="none"/>
        </w:rPr>
        <w:t>Vaidya Panalalmanilal (HUF) </w:t>
      </w:r>
      <w:hyperlink r:id="rId11" w:history="1">
        <w:r w:rsidRPr="000C66AD">
          <w:rPr>
            <w:rFonts w:ascii="Georgia" w:eastAsia="Times New Roman" w:hAnsi="Georgia" w:cs="Times New Roman"/>
            <w:kern w:val="0"/>
            <w:sz w:val="28"/>
            <w:szCs w:val="28"/>
            <w:u w:val="single"/>
            <w:lang w:eastAsia="en-IN"/>
            <w14:ligatures w14:val="none"/>
          </w:rPr>
          <w:t>[2018] 98 taxmann.com 189/259 Taxman 19 (Gujarat)</w:t>
        </w:r>
      </w:hyperlink>
      <w:r w:rsidRPr="000C66AD">
        <w:rPr>
          <w:rFonts w:ascii="Georgia" w:eastAsia="Times New Roman" w:hAnsi="Georgia" w:cs="Times New Roman"/>
          <w:kern w:val="0"/>
          <w:sz w:val="28"/>
          <w:szCs w:val="28"/>
          <w:lang w:eastAsia="en-IN"/>
          <w14:ligatures w14:val="none"/>
        </w:rPr>
        <w:t xml:space="preserve"> held that where consideration that arose in hands of HUF on sale of capital asset had been invested for purchase of new residential house </w:t>
      </w:r>
      <w:r w:rsidRPr="00296F0E">
        <w:rPr>
          <w:rFonts w:ascii="Georgia" w:eastAsia="Times New Roman" w:hAnsi="Georgia" w:cs="Times New Roman"/>
          <w:kern w:val="0"/>
          <w:sz w:val="28"/>
          <w:szCs w:val="28"/>
          <w:highlight w:val="yellow"/>
          <w:lang w:eastAsia="en-IN"/>
          <w14:ligatures w14:val="none"/>
        </w:rPr>
        <w:t>in name of some of its members instead of assessee</w:t>
      </w:r>
      <w:r w:rsidRPr="000C66AD">
        <w:rPr>
          <w:rFonts w:ascii="Georgia" w:eastAsia="Times New Roman" w:hAnsi="Georgia" w:cs="Times New Roman"/>
          <w:kern w:val="0"/>
          <w:sz w:val="28"/>
          <w:szCs w:val="28"/>
          <w:lang w:eastAsia="en-IN"/>
          <w14:ligatures w14:val="none"/>
        </w:rPr>
        <w:t xml:space="preserve"> (HUF), deduction under section 54F of the Act in hands of HUF would still be permissible.</w:t>
      </w:r>
    </w:p>
    <w:p w14:paraId="5CAC09EC" w14:textId="77777777" w:rsidR="000659BF" w:rsidRPr="000C66AD" w:rsidRDefault="000659BF" w:rsidP="008779D7">
      <w:pPr>
        <w:spacing w:line="300" w:lineRule="atLeast"/>
        <w:jc w:val="both"/>
        <w:rPr>
          <w:rFonts w:ascii="Georgia" w:eastAsia="Times New Roman" w:hAnsi="Georgia" w:cs="Times New Roman"/>
          <w:kern w:val="0"/>
          <w:sz w:val="28"/>
          <w:szCs w:val="28"/>
          <w:lang w:eastAsia="en-IN"/>
          <w14:ligatures w14:val="none"/>
        </w:rPr>
      </w:pPr>
      <w:r w:rsidRPr="000C66AD">
        <w:rPr>
          <w:rFonts w:ascii="Georgia" w:eastAsia="Times New Roman" w:hAnsi="Georgia" w:cs="Times New Roman"/>
          <w:b/>
          <w:bCs/>
          <w:kern w:val="0"/>
          <w:sz w:val="28"/>
          <w:szCs w:val="28"/>
          <w:lang w:eastAsia="en-IN"/>
          <w14:ligatures w14:val="none"/>
        </w:rPr>
        <w:t>11.4</w:t>
      </w:r>
      <w:r w:rsidRPr="000C66AD">
        <w:rPr>
          <w:rFonts w:ascii="Georgia" w:eastAsia="Times New Roman" w:hAnsi="Georgia" w:cs="Times New Roman"/>
          <w:kern w:val="0"/>
          <w:sz w:val="28"/>
          <w:szCs w:val="28"/>
          <w:lang w:eastAsia="en-IN"/>
          <w14:ligatures w14:val="none"/>
        </w:rPr>
        <w:t> The ITAT Chennai Bench in the case of </w:t>
      </w:r>
      <w:r w:rsidRPr="000C66AD">
        <w:rPr>
          <w:rFonts w:ascii="Georgia" w:eastAsia="Times New Roman" w:hAnsi="Georgia" w:cs="Times New Roman"/>
          <w:b/>
          <w:bCs/>
          <w:i/>
          <w:iCs/>
          <w:kern w:val="0"/>
          <w:sz w:val="28"/>
          <w:szCs w:val="28"/>
          <w:lang w:eastAsia="en-IN"/>
          <w14:ligatures w14:val="none"/>
        </w:rPr>
        <w:t>B.S. Venkatesan</w:t>
      </w:r>
      <w:r w:rsidRPr="000C66AD">
        <w:rPr>
          <w:rFonts w:ascii="Georgia" w:eastAsia="Times New Roman" w:hAnsi="Georgia" w:cs="Times New Roman"/>
          <w:b/>
          <w:bCs/>
          <w:kern w:val="0"/>
          <w:sz w:val="28"/>
          <w:szCs w:val="28"/>
          <w:lang w:eastAsia="en-IN"/>
          <w14:ligatures w14:val="none"/>
        </w:rPr>
        <w:t> v. </w:t>
      </w:r>
      <w:r w:rsidRPr="000C66AD">
        <w:rPr>
          <w:rFonts w:ascii="Georgia" w:eastAsia="Times New Roman" w:hAnsi="Georgia" w:cs="Times New Roman"/>
          <w:b/>
          <w:bCs/>
          <w:i/>
          <w:iCs/>
          <w:kern w:val="0"/>
          <w:sz w:val="28"/>
          <w:szCs w:val="28"/>
          <w:lang w:eastAsia="en-IN"/>
          <w14:ligatures w14:val="none"/>
        </w:rPr>
        <w:t>ITO</w:t>
      </w:r>
      <w:r w:rsidRPr="000C66AD">
        <w:rPr>
          <w:rFonts w:ascii="Georgia" w:eastAsia="Times New Roman" w:hAnsi="Georgia" w:cs="Times New Roman"/>
          <w:kern w:val="0"/>
          <w:sz w:val="28"/>
          <w:szCs w:val="28"/>
          <w:lang w:eastAsia="en-IN"/>
          <w14:ligatures w14:val="none"/>
        </w:rPr>
        <w:t xml:space="preserve"> IT Appeal No.736(Chny) of 2018, dated 22-1-2019 held that the coparcener cannot be taxed for capital gain from property purchased in his </w:t>
      </w:r>
      <w:r w:rsidRPr="00296F0E">
        <w:rPr>
          <w:rFonts w:ascii="Georgia" w:eastAsia="Times New Roman" w:hAnsi="Georgia" w:cs="Times New Roman"/>
          <w:kern w:val="0"/>
          <w:sz w:val="28"/>
          <w:szCs w:val="28"/>
          <w:highlight w:val="yellow"/>
          <w:lang w:eastAsia="en-IN"/>
          <w14:ligatures w14:val="none"/>
        </w:rPr>
        <w:t>name out of income of HUF</w:t>
      </w:r>
      <w:r w:rsidRPr="000C66AD">
        <w:rPr>
          <w:rFonts w:ascii="Georgia" w:eastAsia="Times New Roman" w:hAnsi="Georgia" w:cs="Times New Roman"/>
          <w:kern w:val="0"/>
          <w:sz w:val="28"/>
          <w:szCs w:val="28"/>
          <w:lang w:eastAsia="en-IN"/>
          <w14:ligatures w14:val="none"/>
        </w:rPr>
        <w:t>.</w:t>
      </w:r>
    </w:p>
    <w:p w14:paraId="4F05948D" w14:textId="77777777" w:rsidR="000659BF" w:rsidRPr="000C66AD" w:rsidRDefault="000659BF" w:rsidP="008779D7">
      <w:pPr>
        <w:spacing w:line="300" w:lineRule="atLeast"/>
        <w:jc w:val="both"/>
        <w:rPr>
          <w:rFonts w:ascii="Georgia" w:eastAsia="Times New Roman" w:hAnsi="Georgia" w:cs="Times New Roman"/>
          <w:kern w:val="0"/>
          <w:sz w:val="28"/>
          <w:szCs w:val="28"/>
          <w:lang w:eastAsia="en-IN"/>
          <w14:ligatures w14:val="none"/>
        </w:rPr>
      </w:pPr>
      <w:r w:rsidRPr="000C66AD">
        <w:rPr>
          <w:rFonts w:ascii="Georgia" w:eastAsia="Times New Roman" w:hAnsi="Georgia" w:cs="Times New Roman"/>
          <w:b/>
          <w:bCs/>
          <w:kern w:val="0"/>
          <w:sz w:val="28"/>
          <w:szCs w:val="28"/>
          <w:lang w:eastAsia="en-IN"/>
          <w14:ligatures w14:val="none"/>
        </w:rPr>
        <w:t>11.5</w:t>
      </w:r>
      <w:r w:rsidRPr="000C66AD">
        <w:rPr>
          <w:rFonts w:ascii="Georgia" w:eastAsia="Times New Roman" w:hAnsi="Georgia" w:cs="Times New Roman"/>
          <w:kern w:val="0"/>
          <w:sz w:val="28"/>
          <w:szCs w:val="28"/>
          <w:lang w:eastAsia="en-IN"/>
          <w14:ligatures w14:val="none"/>
        </w:rPr>
        <w:t> The ITAT Chennai Bench in the case of </w:t>
      </w:r>
      <w:r w:rsidRPr="000C66AD">
        <w:rPr>
          <w:rFonts w:ascii="Georgia" w:eastAsia="Times New Roman" w:hAnsi="Georgia" w:cs="Times New Roman"/>
          <w:b/>
          <w:bCs/>
          <w:i/>
          <w:iCs/>
          <w:kern w:val="0"/>
          <w:sz w:val="28"/>
          <w:szCs w:val="28"/>
          <w:lang w:eastAsia="en-IN"/>
          <w14:ligatures w14:val="none"/>
        </w:rPr>
        <w:t xml:space="preserve">Puranchand </w:t>
      </w:r>
      <w:r w:rsidRPr="00296F0E">
        <w:rPr>
          <w:rFonts w:ascii="Georgia" w:eastAsia="Times New Roman" w:hAnsi="Georgia" w:cs="Times New Roman"/>
          <w:b/>
          <w:bCs/>
          <w:i/>
          <w:iCs/>
          <w:kern w:val="0"/>
          <w:sz w:val="28"/>
          <w:szCs w:val="28"/>
          <w:lang w:eastAsia="en-IN"/>
          <w14:ligatures w14:val="none"/>
        </w:rPr>
        <w:t>&amp; Family (</w:t>
      </w:r>
      <w:r w:rsidRPr="000C66AD">
        <w:rPr>
          <w:rFonts w:ascii="Georgia" w:eastAsia="Times New Roman" w:hAnsi="Georgia" w:cs="Times New Roman"/>
          <w:b/>
          <w:bCs/>
          <w:i/>
          <w:iCs/>
          <w:kern w:val="0"/>
          <w:sz w:val="28"/>
          <w:szCs w:val="28"/>
          <w:lang w:eastAsia="en-IN"/>
          <w14:ligatures w14:val="none"/>
        </w:rPr>
        <w:t>HUF)</w:t>
      </w:r>
      <w:r w:rsidRPr="000C66AD">
        <w:rPr>
          <w:rFonts w:ascii="Georgia" w:eastAsia="Times New Roman" w:hAnsi="Georgia" w:cs="Times New Roman"/>
          <w:b/>
          <w:bCs/>
          <w:kern w:val="0"/>
          <w:sz w:val="28"/>
          <w:szCs w:val="28"/>
          <w:lang w:eastAsia="en-IN"/>
          <w14:ligatures w14:val="none"/>
        </w:rPr>
        <w:t> v. </w:t>
      </w:r>
      <w:r w:rsidRPr="000C66AD">
        <w:rPr>
          <w:rFonts w:ascii="Georgia" w:eastAsia="Times New Roman" w:hAnsi="Georgia" w:cs="Times New Roman"/>
          <w:b/>
          <w:bCs/>
          <w:i/>
          <w:iCs/>
          <w:kern w:val="0"/>
          <w:sz w:val="28"/>
          <w:szCs w:val="28"/>
          <w:lang w:eastAsia="en-IN"/>
          <w14:ligatures w14:val="none"/>
        </w:rPr>
        <w:t>ITO </w:t>
      </w:r>
      <w:hyperlink r:id="rId12" w:history="1">
        <w:r w:rsidRPr="000C66AD">
          <w:rPr>
            <w:rFonts w:ascii="Georgia" w:eastAsia="Times New Roman" w:hAnsi="Georgia" w:cs="Times New Roman"/>
            <w:kern w:val="0"/>
            <w:sz w:val="28"/>
            <w:szCs w:val="28"/>
            <w:u w:val="single"/>
            <w:lang w:eastAsia="en-IN"/>
            <w14:ligatures w14:val="none"/>
          </w:rPr>
          <w:t>[2017] 79 taxmann.com 156 (Chennai - Trib.)</w:t>
        </w:r>
      </w:hyperlink>
      <w:r w:rsidRPr="000C66AD">
        <w:rPr>
          <w:rFonts w:ascii="Georgia" w:eastAsia="Times New Roman" w:hAnsi="Georgia" w:cs="Times New Roman"/>
          <w:kern w:val="0"/>
          <w:sz w:val="28"/>
          <w:szCs w:val="28"/>
          <w:lang w:eastAsia="en-IN"/>
          <w14:ligatures w14:val="none"/>
        </w:rPr>
        <w:t xml:space="preserve"> held that where assessee-HUF used its capital gain from sale of diamonds to purchase a property, even though it </w:t>
      </w:r>
      <w:r w:rsidRPr="00296F0E">
        <w:rPr>
          <w:rFonts w:ascii="Georgia" w:eastAsia="Times New Roman" w:hAnsi="Georgia" w:cs="Times New Roman"/>
          <w:kern w:val="0"/>
          <w:sz w:val="28"/>
          <w:szCs w:val="28"/>
          <w:highlight w:val="yellow"/>
          <w:lang w:eastAsia="en-IN"/>
          <w14:ligatures w14:val="none"/>
        </w:rPr>
        <w:t>was registered in individual name of Karta, property would belong to the HUF and that the HUF would be eligible for exemption under section 54F of</w:t>
      </w:r>
      <w:r w:rsidRPr="000C66AD">
        <w:rPr>
          <w:rFonts w:ascii="Georgia" w:eastAsia="Times New Roman" w:hAnsi="Georgia" w:cs="Times New Roman"/>
          <w:kern w:val="0"/>
          <w:sz w:val="28"/>
          <w:szCs w:val="28"/>
          <w:lang w:eastAsia="en-IN"/>
          <w14:ligatures w14:val="none"/>
        </w:rPr>
        <w:t xml:space="preserve"> the Act.</w:t>
      </w:r>
    </w:p>
    <w:p w14:paraId="2420BBB1" w14:textId="77777777" w:rsidR="000659BF" w:rsidRPr="000C66AD" w:rsidRDefault="000659BF" w:rsidP="008779D7">
      <w:pPr>
        <w:spacing w:line="300" w:lineRule="atLeast"/>
        <w:jc w:val="both"/>
        <w:rPr>
          <w:rFonts w:ascii="Georgia" w:eastAsia="Times New Roman" w:hAnsi="Georgia" w:cs="Times New Roman"/>
          <w:kern w:val="0"/>
          <w:sz w:val="28"/>
          <w:szCs w:val="28"/>
          <w:lang w:eastAsia="en-IN"/>
          <w14:ligatures w14:val="none"/>
        </w:rPr>
      </w:pPr>
      <w:r w:rsidRPr="000C66AD">
        <w:rPr>
          <w:rFonts w:ascii="Georgia" w:eastAsia="Times New Roman" w:hAnsi="Georgia" w:cs="Times New Roman"/>
          <w:b/>
          <w:bCs/>
          <w:kern w:val="0"/>
          <w:sz w:val="28"/>
          <w:szCs w:val="28"/>
          <w:lang w:eastAsia="en-IN"/>
          <w14:ligatures w14:val="none"/>
        </w:rPr>
        <w:t>11.6</w:t>
      </w:r>
      <w:r w:rsidRPr="000C66AD">
        <w:rPr>
          <w:rFonts w:ascii="Georgia" w:eastAsia="Times New Roman" w:hAnsi="Georgia" w:cs="Times New Roman"/>
          <w:kern w:val="0"/>
          <w:sz w:val="28"/>
          <w:szCs w:val="28"/>
          <w:lang w:eastAsia="en-IN"/>
          <w14:ligatures w14:val="none"/>
        </w:rPr>
        <w:t> The ITAT Indore Bench in the case of </w:t>
      </w:r>
      <w:r w:rsidRPr="000C66AD">
        <w:rPr>
          <w:rFonts w:ascii="Georgia" w:eastAsia="Times New Roman" w:hAnsi="Georgia" w:cs="Times New Roman"/>
          <w:b/>
          <w:bCs/>
          <w:i/>
          <w:iCs/>
          <w:kern w:val="0"/>
          <w:sz w:val="28"/>
          <w:szCs w:val="28"/>
          <w:lang w:eastAsia="en-IN"/>
          <w14:ligatures w14:val="none"/>
        </w:rPr>
        <w:t>Shakuntala Somani</w:t>
      </w:r>
      <w:r w:rsidRPr="000C66AD">
        <w:rPr>
          <w:rFonts w:ascii="Georgia" w:eastAsia="Times New Roman" w:hAnsi="Georgia" w:cs="Times New Roman"/>
          <w:b/>
          <w:bCs/>
          <w:kern w:val="0"/>
          <w:sz w:val="28"/>
          <w:szCs w:val="28"/>
          <w:lang w:eastAsia="en-IN"/>
          <w14:ligatures w14:val="none"/>
        </w:rPr>
        <w:t> v. </w:t>
      </w:r>
      <w:r w:rsidRPr="000C66AD">
        <w:rPr>
          <w:rFonts w:ascii="Georgia" w:eastAsia="Times New Roman" w:hAnsi="Georgia" w:cs="Times New Roman"/>
          <w:b/>
          <w:bCs/>
          <w:i/>
          <w:iCs/>
          <w:kern w:val="0"/>
          <w:sz w:val="28"/>
          <w:szCs w:val="28"/>
          <w:lang w:eastAsia="en-IN"/>
          <w14:ligatures w14:val="none"/>
        </w:rPr>
        <w:t>ITO </w:t>
      </w:r>
      <w:r w:rsidRPr="000C66AD">
        <w:rPr>
          <w:rFonts w:ascii="Georgia" w:eastAsia="Times New Roman" w:hAnsi="Georgia" w:cs="Times New Roman"/>
          <w:kern w:val="0"/>
          <w:sz w:val="28"/>
          <w:szCs w:val="28"/>
          <w:lang w:eastAsia="en-IN"/>
          <w14:ligatures w14:val="none"/>
        </w:rPr>
        <w:t xml:space="preserve">[2012] 20 taxmann.com 78 (Indore - Trib.) held that where assessee acquired property on partition of HUF, </w:t>
      </w:r>
      <w:r w:rsidRPr="00296F0E">
        <w:rPr>
          <w:rFonts w:ascii="Georgia" w:eastAsia="Times New Roman" w:hAnsi="Georgia" w:cs="Times New Roman"/>
          <w:kern w:val="0"/>
          <w:sz w:val="28"/>
          <w:szCs w:val="28"/>
          <w:highlight w:val="yellow"/>
          <w:lang w:eastAsia="en-IN"/>
          <w14:ligatures w14:val="none"/>
        </w:rPr>
        <w:t>indexed cost of acquisition had to be computed with reference to year in which HUF acquired the property and not the year in which property came to assessee on partition.</w:t>
      </w:r>
    </w:p>
    <w:p w14:paraId="4E25650A" w14:textId="77777777" w:rsidR="000659BF" w:rsidRPr="000C66AD" w:rsidRDefault="000659BF" w:rsidP="008779D7">
      <w:pPr>
        <w:pStyle w:val="ListParagraph"/>
        <w:rPr>
          <w:rFonts w:ascii="Trebuchet MS" w:hAnsi="Trebuchet MS"/>
          <w:sz w:val="28"/>
          <w:szCs w:val="28"/>
        </w:rPr>
      </w:pPr>
    </w:p>
    <w:sectPr w:rsidR="000659BF" w:rsidRPr="000C6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AF0"/>
    <w:multiLevelType w:val="hybridMultilevel"/>
    <w:tmpl w:val="6500504A"/>
    <w:lvl w:ilvl="0" w:tplc="46A81E78">
      <w:start w:val="3"/>
      <w:numFmt w:val="bullet"/>
      <w:lvlText w:val="-"/>
      <w:lvlJc w:val="left"/>
      <w:pPr>
        <w:ind w:left="720" w:hanging="360"/>
      </w:pPr>
      <w:rPr>
        <w:rFonts w:ascii="Trebuchet MS" w:eastAsia="Times New Roman" w:hAnsi="Trebuchet M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87917A5"/>
    <w:multiLevelType w:val="hybridMultilevel"/>
    <w:tmpl w:val="FE8AAA1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E25459"/>
    <w:multiLevelType w:val="hybridMultilevel"/>
    <w:tmpl w:val="C228346E"/>
    <w:lvl w:ilvl="0" w:tplc="5CA82370">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2439979">
    <w:abstractNumId w:val="2"/>
  </w:num>
  <w:num w:numId="2" w16cid:durableId="470828267">
    <w:abstractNumId w:val="0"/>
  </w:num>
  <w:num w:numId="3" w16cid:durableId="157858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3C"/>
    <w:rsid w:val="000659BF"/>
    <w:rsid w:val="000949BA"/>
    <w:rsid w:val="000A3DE0"/>
    <w:rsid w:val="000C66AD"/>
    <w:rsid w:val="00210F23"/>
    <w:rsid w:val="00296F0E"/>
    <w:rsid w:val="003211C3"/>
    <w:rsid w:val="0042172D"/>
    <w:rsid w:val="00465B5B"/>
    <w:rsid w:val="00515C3D"/>
    <w:rsid w:val="005A268B"/>
    <w:rsid w:val="005B2960"/>
    <w:rsid w:val="006004E2"/>
    <w:rsid w:val="00632B8F"/>
    <w:rsid w:val="00666ECB"/>
    <w:rsid w:val="00670ABF"/>
    <w:rsid w:val="00854178"/>
    <w:rsid w:val="008779D7"/>
    <w:rsid w:val="008B4E7B"/>
    <w:rsid w:val="008C653C"/>
    <w:rsid w:val="00A85C92"/>
    <w:rsid w:val="00AD5DDC"/>
    <w:rsid w:val="00B02FA1"/>
    <w:rsid w:val="00B4616F"/>
    <w:rsid w:val="00BA1917"/>
    <w:rsid w:val="00C1584C"/>
    <w:rsid w:val="00D54E8C"/>
    <w:rsid w:val="00D71C12"/>
    <w:rsid w:val="00E73AA7"/>
    <w:rsid w:val="00E97D34"/>
    <w:rsid w:val="00ED3D06"/>
    <w:rsid w:val="00F23CCA"/>
    <w:rsid w:val="00F251A4"/>
    <w:rsid w:val="00F34DF0"/>
    <w:rsid w:val="00FB06A3"/>
    <w:rsid w:val="00FC63E2"/>
    <w:rsid w:val="00FE09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1E2A"/>
  <w15:chartTrackingRefBased/>
  <w15:docId w15:val="{B5F13248-CF8E-498E-90E2-A260AE93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earchdochighlight">
    <w:name w:val="researchdochighlight"/>
    <w:basedOn w:val="DefaultParagraphFont"/>
    <w:rsid w:val="008C653C"/>
  </w:style>
  <w:style w:type="character" w:styleId="Hyperlink">
    <w:name w:val="Hyperlink"/>
    <w:basedOn w:val="DefaultParagraphFont"/>
    <w:uiPriority w:val="99"/>
    <w:semiHidden/>
    <w:unhideWhenUsed/>
    <w:rsid w:val="008C653C"/>
    <w:rPr>
      <w:color w:val="0000FF"/>
      <w:u w:val="single"/>
    </w:rPr>
  </w:style>
  <w:style w:type="paragraph" w:styleId="ListParagraph">
    <w:name w:val="List Paragraph"/>
    <w:basedOn w:val="Normal"/>
    <w:uiPriority w:val="34"/>
    <w:qFormat/>
    <w:rsid w:val="00AD5DDC"/>
    <w:pPr>
      <w:ind w:left="720"/>
      <w:contextualSpacing/>
    </w:pPr>
  </w:style>
  <w:style w:type="paragraph" w:customStyle="1" w:styleId="tx">
    <w:name w:val="tx"/>
    <w:basedOn w:val="Normal"/>
    <w:rsid w:val="00E97D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indent1">
    <w:name w:val="indent1"/>
    <w:basedOn w:val="Normal"/>
    <w:rsid w:val="00E97D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indent2">
    <w:name w:val="indent2"/>
    <w:basedOn w:val="Normal"/>
    <w:rsid w:val="00D54E8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94">
      <w:bodyDiv w:val="1"/>
      <w:marLeft w:val="0"/>
      <w:marRight w:val="0"/>
      <w:marTop w:val="0"/>
      <w:marBottom w:val="0"/>
      <w:divBdr>
        <w:top w:val="none" w:sz="0" w:space="0" w:color="auto"/>
        <w:left w:val="none" w:sz="0" w:space="0" w:color="auto"/>
        <w:bottom w:val="none" w:sz="0" w:space="0" w:color="auto"/>
        <w:right w:val="none" w:sz="0" w:space="0" w:color="auto"/>
      </w:divBdr>
      <w:divsChild>
        <w:div w:id="1089157095">
          <w:marLeft w:val="0"/>
          <w:marRight w:val="0"/>
          <w:marTop w:val="0"/>
          <w:marBottom w:val="220"/>
          <w:divBdr>
            <w:top w:val="none" w:sz="0" w:space="0" w:color="auto"/>
            <w:left w:val="none" w:sz="0" w:space="0" w:color="auto"/>
            <w:bottom w:val="none" w:sz="0" w:space="0" w:color="auto"/>
            <w:right w:val="none" w:sz="0" w:space="0" w:color="auto"/>
          </w:divBdr>
        </w:div>
        <w:div w:id="589319049">
          <w:marLeft w:val="0"/>
          <w:marRight w:val="0"/>
          <w:marTop w:val="0"/>
          <w:marBottom w:val="220"/>
          <w:divBdr>
            <w:top w:val="none" w:sz="0" w:space="0" w:color="auto"/>
            <w:left w:val="none" w:sz="0" w:space="0" w:color="auto"/>
            <w:bottom w:val="none" w:sz="0" w:space="0" w:color="auto"/>
            <w:right w:val="none" w:sz="0" w:space="0" w:color="auto"/>
          </w:divBdr>
        </w:div>
        <w:div w:id="1909070803">
          <w:marLeft w:val="0"/>
          <w:marRight w:val="0"/>
          <w:marTop w:val="0"/>
          <w:marBottom w:val="220"/>
          <w:divBdr>
            <w:top w:val="none" w:sz="0" w:space="0" w:color="auto"/>
            <w:left w:val="none" w:sz="0" w:space="0" w:color="auto"/>
            <w:bottom w:val="none" w:sz="0" w:space="0" w:color="auto"/>
            <w:right w:val="none" w:sz="0" w:space="0" w:color="auto"/>
          </w:divBdr>
        </w:div>
      </w:divsChild>
    </w:div>
    <w:div w:id="337002329">
      <w:bodyDiv w:val="1"/>
      <w:marLeft w:val="0"/>
      <w:marRight w:val="0"/>
      <w:marTop w:val="0"/>
      <w:marBottom w:val="0"/>
      <w:divBdr>
        <w:top w:val="none" w:sz="0" w:space="0" w:color="auto"/>
        <w:left w:val="none" w:sz="0" w:space="0" w:color="auto"/>
        <w:bottom w:val="none" w:sz="0" w:space="0" w:color="auto"/>
        <w:right w:val="none" w:sz="0" w:space="0" w:color="auto"/>
      </w:divBdr>
      <w:divsChild>
        <w:div w:id="1555433995">
          <w:marLeft w:val="0"/>
          <w:marRight w:val="0"/>
          <w:marTop w:val="0"/>
          <w:marBottom w:val="220"/>
          <w:divBdr>
            <w:top w:val="none" w:sz="0" w:space="0" w:color="auto"/>
            <w:left w:val="none" w:sz="0" w:space="0" w:color="auto"/>
            <w:bottom w:val="none" w:sz="0" w:space="0" w:color="auto"/>
            <w:right w:val="none" w:sz="0" w:space="0" w:color="auto"/>
          </w:divBdr>
        </w:div>
        <w:div w:id="1564027828">
          <w:marLeft w:val="0"/>
          <w:marRight w:val="0"/>
          <w:marTop w:val="0"/>
          <w:marBottom w:val="220"/>
          <w:divBdr>
            <w:top w:val="none" w:sz="0" w:space="0" w:color="auto"/>
            <w:left w:val="none" w:sz="0" w:space="0" w:color="auto"/>
            <w:bottom w:val="none" w:sz="0" w:space="0" w:color="auto"/>
            <w:right w:val="none" w:sz="0" w:space="0" w:color="auto"/>
          </w:divBdr>
        </w:div>
        <w:div w:id="914435925">
          <w:marLeft w:val="0"/>
          <w:marRight w:val="0"/>
          <w:marTop w:val="0"/>
          <w:marBottom w:val="220"/>
          <w:divBdr>
            <w:top w:val="none" w:sz="0" w:space="0" w:color="auto"/>
            <w:left w:val="none" w:sz="0" w:space="0" w:color="auto"/>
            <w:bottom w:val="none" w:sz="0" w:space="0" w:color="auto"/>
            <w:right w:val="none" w:sz="0" w:space="0" w:color="auto"/>
          </w:divBdr>
        </w:div>
        <w:div w:id="1426532495">
          <w:marLeft w:val="0"/>
          <w:marRight w:val="0"/>
          <w:marTop w:val="0"/>
          <w:marBottom w:val="220"/>
          <w:divBdr>
            <w:top w:val="none" w:sz="0" w:space="0" w:color="auto"/>
            <w:left w:val="none" w:sz="0" w:space="0" w:color="auto"/>
            <w:bottom w:val="none" w:sz="0" w:space="0" w:color="auto"/>
            <w:right w:val="none" w:sz="0" w:space="0" w:color="auto"/>
          </w:divBdr>
        </w:div>
      </w:divsChild>
    </w:div>
    <w:div w:id="763499941">
      <w:bodyDiv w:val="1"/>
      <w:marLeft w:val="0"/>
      <w:marRight w:val="0"/>
      <w:marTop w:val="0"/>
      <w:marBottom w:val="0"/>
      <w:divBdr>
        <w:top w:val="none" w:sz="0" w:space="0" w:color="auto"/>
        <w:left w:val="none" w:sz="0" w:space="0" w:color="auto"/>
        <w:bottom w:val="none" w:sz="0" w:space="0" w:color="auto"/>
        <w:right w:val="none" w:sz="0" w:space="0" w:color="auto"/>
      </w:divBdr>
      <w:divsChild>
        <w:div w:id="1081680540">
          <w:marLeft w:val="0"/>
          <w:marRight w:val="0"/>
          <w:marTop w:val="0"/>
          <w:marBottom w:val="220"/>
          <w:divBdr>
            <w:top w:val="none" w:sz="0" w:space="0" w:color="auto"/>
            <w:left w:val="none" w:sz="0" w:space="0" w:color="auto"/>
            <w:bottom w:val="none" w:sz="0" w:space="0" w:color="auto"/>
            <w:right w:val="none" w:sz="0" w:space="0" w:color="auto"/>
          </w:divBdr>
        </w:div>
      </w:divsChild>
    </w:div>
    <w:div w:id="831258962">
      <w:bodyDiv w:val="1"/>
      <w:marLeft w:val="0"/>
      <w:marRight w:val="0"/>
      <w:marTop w:val="0"/>
      <w:marBottom w:val="0"/>
      <w:divBdr>
        <w:top w:val="none" w:sz="0" w:space="0" w:color="auto"/>
        <w:left w:val="none" w:sz="0" w:space="0" w:color="auto"/>
        <w:bottom w:val="none" w:sz="0" w:space="0" w:color="auto"/>
        <w:right w:val="none" w:sz="0" w:space="0" w:color="auto"/>
      </w:divBdr>
      <w:divsChild>
        <w:div w:id="1294601641">
          <w:marLeft w:val="0"/>
          <w:marRight w:val="0"/>
          <w:marTop w:val="0"/>
          <w:marBottom w:val="220"/>
          <w:divBdr>
            <w:top w:val="none" w:sz="0" w:space="0" w:color="auto"/>
            <w:left w:val="none" w:sz="0" w:space="0" w:color="auto"/>
            <w:bottom w:val="none" w:sz="0" w:space="0" w:color="auto"/>
            <w:right w:val="none" w:sz="0" w:space="0" w:color="auto"/>
          </w:divBdr>
        </w:div>
        <w:div w:id="245965774">
          <w:marLeft w:val="0"/>
          <w:marRight w:val="0"/>
          <w:marTop w:val="0"/>
          <w:marBottom w:val="220"/>
          <w:divBdr>
            <w:top w:val="none" w:sz="0" w:space="0" w:color="auto"/>
            <w:left w:val="none" w:sz="0" w:space="0" w:color="auto"/>
            <w:bottom w:val="none" w:sz="0" w:space="0" w:color="auto"/>
            <w:right w:val="none" w:sz="0" w:space="0" w:color="auto"/>
          </w:divBdr>
        </w:div>
      </w:divsChild>
    </w:div>
    <w:div w:id="885601940">
      <w:bodyDiv w:val="1"/>
      <w:marLeft w:val="0"/>
      <w:marRight w:val="0"/>
      <w:marTop w:val="0"/>
      <w:marBottom w:val="0"/>
      <w:divBdr>
        <w:top w:val="none" w:sz="0" w:space="0" w:color="auto"/>
        <w:left w:val="none" w:sz="0" w:space="0" w:color="auto"/>
        <w:bottom w:val="none" w:sz="0" w:space="0" w:color="auto"/>
        <w:right w:val="none" w:sz="0" w:space="0" w:color="auto"/>
      </w:divBdr>
      <w:divsChild>
        <w:div w:id="1017346464">
          <w:marLeft w:val="0"/>
          <w:marRight w:val="0"/>
          <w:marTop w:val="0"/>
          <w:marBottom w:val="220"/>
          <w:divBdr>
            <w:top w:val="none" w:sz="0" w:space="0" w:color="auto"/>
            <w:left w:val="none" w:sz="0" w:space="0" w:color="auto"/>
            <w:bottom w:val="none" w:sz="0" w:space="0" w:color="auto"/>
            <w:right w:val="none" w:sz="0" w:space="0" w:color="auto"/>
          </w:divBdr>
        </w:div>
        <w:div w:id="450789234">
          <w:marLeft w:val="0"/>
          <w:marRight w:val="0"/>
          <w:marTop w:val="0"/>
          <w:marBottom w:val="220"/>
          <w:divBdr>
            <w:top w:val="none" w:sz="0" w:space="0" w:color="auto"/>
            <w:left w:val="none" w:sz="0" w:space="0" w:color="auto"/>
            <w:bottom w:val="none" w:sz="0" w:space="0" w:color="auto"/>
            <w:right w:val="none" w:sz="0" w:space="0" w:color="auto"/>
          </w:divBdr>
        </w:div>
        <w:div w:id="237252072">
          <w:marLeft w:val="0"/>
          <w:marRight w:val="0"/>
          <w:marTop w:val="0"/>
          <w:marBottom w:val="220"/>
          <w:divBdr>
            <w:top w:val="none" w:sz="0" w:space="0" w:color="auto"/>
            <w:left w:val="none" w:sz="0" w:space="0" w:color="auto"/>
            <w:bottom w:val="none" w:sz="0" w:space="0" w:color="auto"/>
            <w:right w:val="none" w:sz="0" w:space="0" w:color="auto"/>
          </w:divBdr>
        </w:div>
      </w:divsChild>
    </w:div>
    <w:div w:id="1108700001">
      <w:bodyDiv w:val="1"/>
      <w:marLeft w:val="0"/>
      <w:marRight w:val="0"/>
      <w:marTop w:val="0"/>
      <w:marBottom w:val="0"/>
      <w:divBdr>
        <w:top w:val="none" w:sz="0" w:space="0" w:color="auto"/>
        <w:left w:val="none" w:sz="0" w:space="0" w:color="auto"/>
        <w:bottom w:val="none" w:sz="0" w:space="0" w:color="auto"/>
        <w:right w:val="none" w:sz="0" w:space="0" w:color="auto"/>
      </w:divBdr>
    </w:div>
    <w:div w:id="1370296807">
      <w:bodyDiv w:val="1"/>
      <w:marLeft w:val="0"/>
      <w:marRight w:val="0"/>
      <w:marTop w:val="0"/>
      <w:marBottom w:val="0"/>
      <w:divBdr>
        <w:top w:val="none" w:sz="0" w:space="0" w:color="auto"/>
        <w:left w:val="none" w:sz="0" w:space="0" w:color="auto"/>
        <w:bottom w:val="none" w:sz="0" w:space="0" w:color="auto"/>
        <w:right w:val="none" w:sz="0" w:space="0" w:color="auto"/>
      </w:divBdr>
    </w:div>
    <w:div w:id="1940869157">
      <w:bodyDiv w:val="1"/>
      <w:marLeft w:val="0"/>
      <w:marRight w:val="0"/>
      <w:marTop w:val="0"/>
      <w:marBottom w:val="0"/>
      <w:divBdr>
        <w:top w:val="none" w:sz="0" w:space="0" w:color="auto"/>
        <w:left w:val="none" w:sz="0" w:space="0" w:color="auto"/>
        <w:bottom w:val="none" w:sz="0" w:space="0" w:color="auto"/>
        <w:right w:val="none" w:sz="0" w:space="0" w:color="auto"/>
      </w:divBdr>
    </w:div>
    <w:div w:id="1944653634">
      <w:bodyDiv w:val="1"/>
      <w:marLeft w:val="0"/>
      <w:marRight w:val="0"/>
      <w:marTop w:val="0"/>
      <w:marBottom w:val="0"/>
      <w:divBdr>
        <w:top w:val="none" w:sz="0" w:space="0" w:color="auto"/>
        <w:left w:val="none" w:sz="0" w:space="0" w:color="auto"/>
        <w:bottom w:val="none" w:sz="0" w:space="0" w:color="auto"/>
        <w:right w:val="none" w:sz="0" w:space="0" w:color="auto"/>
      </w:divBdr>
      <w:divsChild>
        <w:div w:id="1418667879">
          <w:marLeft w:val="0"/>
          <w:marRight w:val="0"/>
          <w:marTop w:val="0"/>
          <w:marBottom w:val="220"/>
          <w:divBdr>
            <w:top w:val="none" w:sz="0" w:space="0" w:color="auto"/>
            <w:left w:val="none" w:sz="0" w:space="0" w:color="auto"/>
            <w:bottom w:val="none" w:sz="0" w:space="0" w:color="auto"/>
            <w:right w:val="none" w:sz="0" w:space="0" w:color="auto"/>
          </w:divBdr>
        </w:div>
        <w:div w:id="754014908">
          <w:marLeft w:val="0"/>
          <w:marRight w:val="0"/>
          <w:marTop w:val="0"/>
          <w:marBottom w:val="220"/>
          <w:divBdr>
            <w:top w:val="none" w:sz="0" w:space="0" w:color="auto"/>
            <w:left w:val="none" w:sz="0" w:space="0" w:color="auto"/>
            <w:bottom w:val="none" w:sz="0" w:space="0" w:color="auto"/>
            <w:right w:val="none" w:sz="0" w:space="0" w:color="auto"/>
          </w:divBdr>
        </w:div>
        <w:div w:id="1288589812">
          <w:marLeft w:val="0"/>
          <w:marRight w:val="0"/>
          <w:marTop w:val="0"/>
          <w:marBottom w:val="220"/>
          <w:divBdr>
            <w:top w:val="none" w:sz="0" w:space="0" w:color="auto"/>
            <w:left w:val="none" w:sz="0" w:space="0" w:color="auto"/>
            <w:bottom w:val="none" w:sz="0" w:space="0" w:color="auto"/>
            <w:right w:val="none" w:sz="0" w:space="0" w:color="auto"/>
          </w:divBdr>
        </w:div>
        <w:div w:id="295184703">
          <w:marLeft w:val="0"/>
          <w:marRight w:val="0"/>
          <w:marTop w:val="0"/>
          <w:marBottom w:val="220"/>
          <w:divBdr>
            <w:top w:val="none" w:sz="0" w:space="0" w:color="auto"/>
            <w:left w:val="none" w:sz="0" w:space="0" w:color="auto"/>
            <w:bottom w:val="none" w:sz="0" w:space="0" w:color="auto"/>
            <w:right w:val="none" w:sz="0" w:space="0" w:color="auto"/>
          </w:divBdr>
        </w:div>
      </w:divsChild>
    </w:div>
    <w:div w:id="19649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ShowMainContent('Act',%20'CMSID',%20'102520000000139766',%2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9</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bktax tax</dc:creator>
  <cp:keywords/>
  <dc:description/>
  <cp:lastModifiedBy>bktax tax</cp:lastModifiedBy>
  <cp:revision>26</cp:revision>
  <dcterms:created xsi:type="dcterms:W3CDTF">2024-03-07T13:39:00Z</dcterms:created>
  <dcterms:modified xsi:type="dcterms:W3CDTF">2024-03-08T01:48:00Z</dcterms:modified>
</cp:coreProperties>
</file>